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lang w:val="zh-CN"/>
        </w:rPr>
        <w:id w:val="-1305997691"/>
        <w:docPartObj>
          <w:docPartGallery w:val="Table of Contents"/>
          <w:docPartUnique/>
        </w:docPartObj>
      </w:sdtPr>
      <w:sdtEndPr>
        <w:rPr>
          <w:b/>
          <w:bCs/>
          <w:lang w:val="zh-CN"/>
        </w:rPr>
      </w:sdtEndPr>
      <w:sdtContent>
        <w:p>
          <w:pPr>
            <w:jc w:val="center"/>
            <w:rPr>
              <w:lang w:val="zh-CN"/>
            </w:rPr>
          </w:pPr>
          <w:bookmarkStart w:id="32" w:name="_GoBack"/>
          <w:bookmarkEnd w:id="32"/>
          <w:r>
            <w:rPr>
              <w:rFonts w:ascii="宋体" w:hAnsi="宋体" w:eastAsia="宋体" w:cs="宋体"/>
              <w:kern w:val="0"/>
              <w:sz w:val="28"/>
              <w:szCs w:val="28"/>
            </w:rPr>
            <w:t>安徽省人民政府办公厅关于深化产教融合的实施意见</w:t>
          </w:r>
        </w:p>
        <w:p>
          <w:pPr>
            <w:pStyle w:val="15"/>
            <w:jc w:val="center"/>
            <w:rPr>
              <w:b/>
              <w:lang w:val="zh-CN"/>
            </w:rPr>
          </w:pPr>
          <w:r>
            <w:rPr>
              <w:b/>
              <w:lang w:val="zh-CN"/>
            </w:rPr>
            <w:t>目录</w:t>
          </w:r>
        </w:p>
        <w:p>
          <w:pPr>
            <w:pStyle w:val="6"/>
            <w:tabs>
              <w:tab w:val="right" w:leader="dot" w:pos="8296"/>
            </w:tabs>
          </w:pPr>
          <w:r>
            <w:fldChar w:fldCharType="begin"/>
          </w:r>
          <w:r>
            <w:instrText xml:space="preserve"> TOC \o "1-3" \h \z \u </w:instrText>
          </w:r>
          <w:r>
            <w:fldChar w:fldCharType="separate"/>
          </w:r>
          <w:r>
            <w:fldChar w:fldCharType="begin"/>
          </w:r>
          <w:r>
            <w:instrText xml:space="preserve"> HYPERLINK \l "_Toc8821987" </w:instrText>
          </w:r>
          <w:r>
            <w:fldChar w:fldCharType="separate"/>
          </w:r>
          <w:r>
            <w:rPr>
              <w:rStyle w:val="10"/>
            </w:rPr>
            <w:t>一、总体要求</w:t>
          </w:r>
          <w:r>
            <w:tab/>
          </w:r>
          <w:r>
            <w:fldChar w:fldCharType="begin"/>
          </w:r>
          <w:r>
            <w:instrText xml:space="preserve"> PAGEREF _Toc8821987 \h </w:instrText>
          </w:r>
          <w:r>
            <w:fldChar w:fldCharType="separate"/>
          </w:r>
          <w:r>
            <w:t>1</w:t>
          </w:r>
          <w:r>
            <w:fldChar w:fldCharType="end"/>
          </w:r>
          <w:r>
            <w:fldChar w:fldCharType="end"/>
          </w:r>
        </w:p>
        <w:p>
          <w:pPr>
            <w:pStyle w:val="7"/>
            <w:tabs>
              <w:tab w:val="right" w:leader="dot" w:pos="8296"/>
            </w:tabs>
          </w:pPr>
          <w:r>
            <w:fldChar w:fldCharType="begin"/>
          </w:r>
          <w:r>
            <w:instrText xml:space="preserve"> HYPERLINK \l "_Toc8821988" </w:instrText>
          </w:r>
          <w:r>
            <w:fldChar w:fldCharType="separate"/>
          </w:r>
          <w:r>
            <w:rPr>
              <w:rStyle w:val="10"/>
            </w:rPr>
            <w:t>（一）指导思想。</w:t>
          </w:r>
          <w:r>
            <w:tab/>
          </w:r>
          <w:r>
            <w:fldChar w:fldCharType="begin"/>
          </w:r>
          <w:r>
            <w:instrText xml:space="preserve"> PAGEREF _Toc8821988 \h </w:instrText>
          </w:r>
          <w:r>
            <w:fldChar w:fldCharType="separate"/>
          </w:r>
          <w:r>
            <w:t>1</w:t>
          </w:r>
          <w:r>
            <w:fldChar w:fldCharType="end"/>
          </w:r>
          <w:r>
            <w:fldChar w:fldCharType="end"/>
          </w:r>
        </w:p>
        <w:p>
          <w:pPr>
            <w:pStyle w:val="7"/>
            <w:tabs>
              <w:tab w:val="right" w:leader="dot" w:pos="8296"/>
            </w:tabs>
          </w:pPr>
          <w:r>
            <w:fldChar w:fldCharType="begin"/>
          </w:r>
          <w:r>
            <w:instrText xml:space="preserve"> HYPERLINK \l "_Toc8821989" </w:instrText>
          </w:r>
          <w:r>
            <w:fldChar w:fldCharType="separate"/>
          </w:r>
          <w:r>
            <w:rPr>
              <w:rStyle w:val="10"/>
            </w:rPr>
            <w:t>（二）发展目标。</w:t>
          </w:r>
          <w:r>
            <w:tab/>
          </w:r>
          <w:r>
            <w:fldChar w:fldCharType="begin"/>
          </w:r>
          <w:r>
            <w:instrText xml:space="preserve"> PAGEREF _Toc8821989 \h </w:instrText>
          </w:r>
          <w:r>
            <w:fldChar w:fldCharType="separate"/>
          </w:r>
          <w:r>
            <w:t>2</w:t>
          </w:r>
          <w:r>
            <w:fldChar w:fldCharType="end"/>
          </w:r>
          <w:r>
            <w:fldChar w:fldCharType="end"/>
          </w:r>
        </w:p>
        <w:p>
          <w:pPr>
            <w:pStyle w:val="6"/>
            <w:tabs>
              <w:tab w:val="right" w:leader="dot" w:pos="8296"/>
            </w:tabs>
          </w:pPr>
          <w:r>
            <w:fldChar w:fldCharType="begin"/>
          </w:r>
          <w:r>
            <w:instrText xml:space="preserve"> HYPERLINK \l "_Toc8821990" </w:instrText>
          </w:r>
          <w:r>
            <w:fldChar w:fldCharType="separate"/>
          </w:r>
          <w:r>
            <w:rPr>
              <w:rStyle w:val="10"/>
            </w:rPr>
            <w:t>二、构建教育和产业深度融合发展格局</w:t>
          </w:r>
          <w:r>
            <w:tab/>
          </w:r>
          <w:r>
            <w:fldChar w:fldCharType="begin"/>
          </w:r>
          <w:r>
            <w:instrText xml:space="preserve"> PAGEREF _Toc8821990 \h </w:instrText>
          </w:r>
          <w:r>
            <w:fldChar w:fldCharType="separate"/>
          </w:r>
          <w:r>
            <w:t>2</w:t>
          </w:r>
          <w:r>
            <w:fldChar w:fldCharType="end"/>
          </w:r>
          <w:r>
            <w:fldChar w:fldCharType="end"/>
          </w:r>
        </w:p>
        <w:p>
          <w:pPr>
            <w:pStyle w:val="7"/>
            <w:tabs>
              <w:tab w:val="right" w:leader="dot" w:pos="8296"/>
            </w:tabs>
          </w:pPr>
          <w:r>
            <w:fldChar w:fldCharType="begin"/>
          </w:r>
          <w:r>
            <w:instrText xml:space="preserve"> HYPERLINK \l "_Toc8821991" </w:instrText>
          </w:r>
          <w:r>
            <w:fldChar w:fldCharType="separate"/>
          </w:r>
          <w:r>
            <w:rPr>
              <w:rStyle w:val="10"/>
            </w:rPr>
            <w:t>（三）统筹产教融合规划布局</w:t>
          </w:r>
          <w:r>
            <w:tab/>
          </w:r>
          <w:r>
            <w:fldChar w:fldCharType="begin"/>
          </w:r>
          <w:r>
            <w:instrText xml:space="preserve"> PAGEREF _Toc8821991 \h </w:instrText>
          </w:r>
          <w:r>
            <w:fldChar w:fldCharType="separate"/>
          </w:r>
          <w:r>
            <w:t>2</w:t>
          </w:r>
          <w:r>
            <w:fldChar w:fldCharType="end"/>
          </w:r>
          <w:r>
            <w:fldChar w:fldCharType="end"/>
          </w:r>
        </w:p>
        <w:p>
          <w:pPr>
            <w:pStyle w:val="7"/>
            <w:tabs>
              <w:tab w:val="right" w:leader="dot" w:pos="8296"/>
            </w:tabs>
          </w:pPr>
          <w:r>
            <w:fldChar w:fldCharType="begin"/>
          </w:r>
          <w:r>
            <w:instrText xml:space="preserve"> HYPERLINK \l "_Toc8821992" </w:instrText>
          </w:r>
          <w:r>
            <w:fldChar w:fldCharType="separate"/>
          </w:r>
          <w:r>
            <w:rPr>
              <w:rStyle w:val="10"/>
            </w:rPr>
            <w:t>（四）促进高等教育融入国家和区域创新体系。</w:t>
          </w:r>
          <w:r>
            <w:tab/>
          </w:r>
          <w:r>
            <w:fldChar w:fldCharType="begin"/>
          </w:r>
          <w:r>
            <w:instrText xml:space="preserve"> PAGEREF _Toc8821992 \h </w:instrText>
          </w:r>
          <w:r>
            <w:fldChar w:fldCharType="separate"/>
          </w:r>
          <w:r>
            <w:t>3</w:t>
          </w:r>
          <w:r>
            <w:fldChar w:fldCharType="end"/>
          </w:r>
          <w:r>
            <w:fldChar w:fldCharType="end"/>
          </w:r>
        </w:p>
        <w:p>
          <w:pPr>
            <w:pStyle w:val="7"/>
            <w:tabs>
              <w:tab w:val="right" w:leader="dot" w:pos="8296"/>
            </w:tabs>
          </w:pPr>
          <w:r>
            <w:fldChar w:fldCharType="begin"/>
          </w:r>
          <w:r>
            <w:instrText xml:space="preserve"> HYPERLINK \l "_Toc8821993" </w:instrText>
          </w:r>
          <w:r>
            <w:fldChar w:fldCharType="separate"/>
          </w:r>
          <w:r>
            <w:rPr>
              <w:rStyle w:val="10"/>
            </w:rPr>
            <w:t>（五）完善产教融合学科专业体系</w:t>
          </w:r>
          <w:r>
            <w:tab/>
          </w:r>
          <w:r>
            <w:fldChar w:fldCharType="begin"/>
          </w:r>
          <w:r>
            <w:instrText xml:space="preserve"> PAGEREF _Toc8821993 \h </w:instrText>
          </w:r>
          <w:r>
            <w:fldChar w:fldCharType="separate"/>
          </w:r>
          <w:r>
            <w:t>4</w:t>
          </w:r>
          <w:r>
            <w:fldChar w:fldCharType="end"/>
          </w:r>
          <w:r>
            <w:fldChar w:fldCharType="end"/>
          </w:r>
        </w:p>
        <w:p>
          <w:pPr>
            <w:pStyle w:val="7"/>
            <w:tabs>
              <w:tab w:val="right" w:leader="dot" w:pos="8296"/>
            </w:tabs>
          </w:pPr>
          <w:r>
            <w:fldChar w:fldCharType="begin"/>
          </w:r>
          <w:r>
            <w:instrText xml:space="preserve"> HYPERLINK \l "_Toc8821994" </w:instrText>
          </w:r>
          <w:r>
            <w:fldChar w:fldCharType="separate"/>
          </w:r>
          <w:r>
            <w:rPr>
              <w:rStyle w:val="10"/>
            </w:rPr>
            <w:t>（六）强化人才培养需求导向</w:t>
          </w:r>
          <w:r>
            <w:tab/>
          </w:r>
          <w:r>
            <w:fldChar w:fldCharType="begin"/>
          </w:r>
          <w:r>
            <w:instrText xml:space="preserve"> PAGEREF _Toc8821994 \h </w:instrText>
          </w:r>
          <w:r>
            <w:fldChar w:fldCharType="separate"/>
          </w:r>
          <w:r>
            <w:t>4</w:t>
          </w:r>
          <w:r>
            <w:fldChar w:fldCharType="end"/>
          </w:r>
          <w:r>
            <w:fldChar w:fldCharType="end"/>
          </w:r>
        </w:p>
        <w:p>
          <w:pPr>
            <w:pStyle w:val="6"/>
            <w:tabs>
              <w:tab w:val="right" w:leader="dot" w:pos="8296"/>
            </w:tabs>
          </w:pPr>
          <w:r>
            <w:fldChar w:fldCharType="begin"/>
          </w:r>
          <w:r>
            <w:instrText xml:space="preserve"> HYPERLINK \l "_Toc8821995" </w:instrText>
          </w:r>
          <w:r>
            <w:fldChar w:fldCharType="separate"/>
          </w:r>
          <w:r>
            <w:rPr>
              <w:rStyle w:val="10"/>
            </w:rPr>
            <w:t>三、发挥企业产教融合重要主体作用</w:t>
          </w:r>
          <w:r>
            <w:tab/>
          </w:r>
          <w:r>
            <w:fldChar w:fldCharType="begin"/>
          </w:r>
          <w:r>
            <w:instrText xml:space="preserve"> PAGEREF _Toc8821995 \h </w:instrText>
          </w:r>
          <w:r>
            <w:fldChar w:fldCharType="separate"/>
          </w:r>
          <w:r>
            <w:t>5</w:t>
          </w:r>
          <w:r>
            <w:fldChar w:fldCharType="end"/>
          </w:r>
          <w:r>
            <w:fldChar w:fldCharType="end"/>
          </w:r>
        </w:p>
        <w:p>
          <w:pPr>
            <w:pStyle w:val="7"/>
            <w:tabs>
              <w:tab w:val="right" w:leader="dot" w:pos="8296"/>
            </w:tabs>
          </w:pPr>
          <w:r>
            <w:fldChar w:fldCharType="begin"/>
          </w:r>
          <w:r>
            <w:instrText xml:space="preserve"> HYPERLINK \l "_Toc8821996" </w:instrText>
          </w:r>
          <w:r>
            <w:fldChar w:fldCharType="separate"/>
          </w:r>
          <w:r>
            <w:rPr>
              <w:rStyle w:val="10"/>
            </w:rPr>
            <w:t>（七）拓宽企业参与途径</w:t>
          </w:r>
          <w:r>
            <w:tab/>
          </w:r>
          <w:r>
            <w:fldChar w:fldCharType="begin"/>
          </w:r>
          <w:r>
            <w:instrText xml:space="preserve"> PAGEREF _Toc8821996 \h </w:instrText>
          </w:r>
          <w:r>
            <w:fldChar w:fldCharType="separate"/>
          </w:r>
          <w:r>
            <w:t>5</w:t>
          </w:r>
          <w:r>
            <w:fldChar w:fldCharType="end"/>
          </w:r>
          <w:r>
            <w:fldChar w:fldCharType="end"/>
          </w:r>
        </w:p>
        <w:p>
          <w:pPr>
            <w:pStyle w:val="7"/>
            <w:tabs>
              <w:tab w:val="right" w:leader="dot" w:pos="8296"/>
            </w:tabs>
          </w:pPr>
          <w:r>
            <w:fldChar w:fldCharType="begin"/>
          </w:r>
          <w:r>
            <w:instrText xml:space="preserve"> HYPERLINK \l "_Toc8821997" </w:instrText>
          </w:r>
          <w:r>
            <w:fldChar w:fldCharType="separate"/>
          </w:r>
          <w:r>
            <w:rPr>
              <w:rStyle w:val="10"/>
            </w:rPr>
            <w:t>（八）深化“引企入教”改革</w:t>
          </w:r>
          <w:r>
            <w:tab/>
          </w:r>
          <w:r>
            <w:fldChar w:fldCharType="begin"/>
          </w:r>
          <w:r>
            <w:instrText xml:space="preserve"> PAGEREF _Toc8821997 \h </w:instrText>
          </w:r>
          <w:r>
            <w:fldChar w:fldCharType="separate"/>
          </w:r>
          <w:r>
            <w:t>5</w:t>
          </w:r>
          <w:r>
            <w:fldChar w:fldCharType="end"/>
          </w:r>
          <w:r>
            <w:fldChar w:fldCharType="end"/>
          </w:r>
        </w:p>
        <w:p>
          <w:pPr>
            <w:pStyle w:val="7"/>
            <w:tabs>
              <w:tab w:val="right" w:leader="dot" w:pos="8296"/>
            </w:tabs>
          </w:pPr>
          <w:r>
            <w:fldChar w:fldCharType="begin"/>
          </w:r>
          <w:r>
            <w:instrText xml:space="preserve"> HYPERLINK \l "_Toc8821998" </w:instrText>
          </w:r>
          <w:r>
            <w:fldChar w:fldCharType="separate"/>
          </w:r>
          <w:r>
            <w:rPr>
              <w:rStyle w:val="10"/>
            </w:rPr>
            <w:t>（九）开展生产性实习实训</w:t>
          </w:r>
          <w:r>
            <w:tab/>
          </w:r>
          <w:r>
            <w:fldChar w:fldCharType="begin"/>
          </w:r>
          <w:r>
            <w:instrText xml:space="preserve"> PAGEREF _Toc8821998 \h </w:instrText>
          </w:r>
          <w:r>
            <w:fldChar w:fldCharType="separate"/>
          </w:r>
          <w:r>
            <w:t>6</w:t>
          </w:r>
          <w:r>
            <w:fldChar w:fldCharType="end"/>
          </w:r>
          <w:r>
            <w:fldChar w:fldCharType="end"/>
          </w:r>
        </w:p>
        <w:p>
          <w:pPr>
            <w:pStyle w:val="7"/>
            <w:tabs>
              <w:tab w:val="right" w:leader="dot" w:pos="8296"/>
            </w:tabs>
          </w:pPr>
          <w:r>
            <w:fldChar w:fldCharType="begin"/>
          </w:r>
          <w:r>
            <w:instrText xml:space="preserve"> HYPERLINK \l "_Toc8821999" </w:instrText>
          </w:r>
          <w:r>
            <w:fldChar w:fldCharType="separate"/>
          </w:r>
          <w:r>
            <w:rPr>
              <w:rStyle w:val="10"/>
            </w:rPr>
            <w:t>（十）推进协同创新和成果转化</w:t>
          </w:r>
          <w:r>
            <w:tab/>
          </w:r>
          <w:r>
            <w:fldChar w:fldCharType="begin"/>
          </w:r>
          <w:r>
            <w:instrText xml:space="preserve"> PAGEREF _Toc8821999 \h </w:instrText>
          </w:r>
          <w:r>
            <w:fldChar w:fldCharType="separate"/>
          </w:r>
          <w:r>
            <w:t>6</w:t>
          </w:r>
          <w:r>
            <w:fldChar w:fldCharType="end"/>
          </w:r>
          <w:r>
            <w:fldChar w:fldCharType="end"/>
          </w:r>
        </w:p>
        <w:p>
          <w:pPr>
            <w:pStyle w:val="7"/>
            <w:tabs>
              <w:tab w:val="right" w:leader="dot" w:pos="8296"/>
            </w:tabs>
          </w:pPr>
          <w:r>
            <w:fldChar w:fldCharType="begin"/>
          </w:r>
          <w:r>
            <w:instrText xml:space="preserve"> HYPERLINK \l "_Toc8822000" </w:instrText>
          </w:r>
          <w:r>
            <w:fldChar w:fldCharType="separate"/>
          </w:r>
          <w:r>
            <w:rPr>
              <w:rStyle w:val="10"/>
            </w:rPr>
            <w:t>（十一）强化企业职工在岗教育培训</w:t>
          </w:r>
          <w:r>
            <w:tab/>
          </w:r>
          <w:r>
            <w:fldChar w:fldCharType="begin"/>
          </w:r>
          <w:r>
            <w:instrText xml:space="preserve"> PAGEREF _Toc8822000 \h </w:instrText>
          </w:r>
          <w:r>
            <w:fldChar w:fldCharType="separate"/>
          </w:r>
          <w:r>
            <w:t>7</w:t>
          </w:r>
          <w:r>
            <w:fldChar w:fldCharType="end"/>
          </w:r>
          <w:r>
            <w:fldChar w:fldCharType="end"/>
          </w:r>
        </w:p>
        <w:p>
          <w:pPr>
            <w:pStyle w:val="6"/>
            <w:tabs>
              <w:tab w:val="right" w:leader="dot" w:pos="8296"/>
            </w:tabs>
          </w:pPr>
          <w:r>
            <w:fldChar w:fldCharType="begin"/>
          </w:r>
          <w:r>
            <w:instrText xml:space="preserve"> HYPERLINK \l "_Toc8822001" </w:instrText>
          </w:r>
          <w:r>
            <w:fldChar w:fldCharType="separate"/>
          </w:r>
          <w:r>
            <w:rPr>
              <w:rStyle w:val="10"/>
            </w:rPr>
            <w:t>四、加强产教融合人才培育</w:t>
          </w:r>
          <w:r>
            <w:tab/>
          </w:r>
          <w:r>
            <w:fldChar w:fldCharType="begin"/>
          </w:r>
          <w:r>
            <w:instrText xml:space="preserve"> PAGEREF _Toc8822001 \h </w:instrText>
          </w:r>
          <w:r>
            <w:fldChar w:fldCharType="separate"/>
          </w:r>
          <w:r>
            <w:t>7</w:t>
          </w:r>
          <w:r>
            <w:fldChar w:fldCharType="end"/>
          </w:r>
          <w:r>
            <w:fldChar w:fldCharType="end"/>
          </w:r>
        </w:p>
        <w:p>
          <w:pPr>
            <w:pStyle w:val="7"/>
            <w:tabs>
              <w:tab w:val="right" w:leader="dot" w:pos="8296"/>
            </w:tabs>
          </w:pPr>
          <w:r>
            <w:fldChar w:fldCharType="begin"/>
          </w:r>
          <w:r>
            <w:instrText xml:space="preserve"> HYPERLINK \l "_Toc8822002" </w:instrText>
          </w:r>
          <w:r>
            <w:fldChar w:fldCharType="separate"/>
          </w:r>
          <w:r>
            <w:rPr>
              <w:rStyle w:val="10"/>
            </w:rPr>
            <w:t>（十二）将劳动实践融入基础教育</w:t>
          </w:r>
          <w:r>
            <w:tab/>
          </w:r>
          <w:r>
            <w:fldChar w:fldCharType="begin"/>
          </w:r>
          <w:r>
            <w:instrText xml:space="preserve"> PAGEREF _Toc8822002 \h </w:instrText>
          </w:r>
          <w:r>
            <w:fldChar w:fldCharType="separate"/>
          </w:r>
          <w:r>
            <w:t>7</w:t>
          </w:r>
          <w:r>
            <w:fldChar w:fldCharType="end"/>
          </w:r>
          <w:r>
            <w:fldChar w:fldCharType="end"/>
          </w:r>
        </w:p>
        <w:p>
          <w:pPr>
            <w:pStyle w:val="7"/>
            <w:tabs>
              <w:tab w:val="right" w:leader="dot" w:pos="8296"/>
            </w:tabs>
          </w:pPr>
          <w:r>
            <w:fldChar w:fldCharType="begin"/>
          </w:r>
          <w:r>
            <w:instrText xml:space="preserve"> HYPERLINK \l "_Toc8822003" </w:instrText>
          </w:r>
          <w:r>
            <w:fldChar w:fldCharType="separate"/>
          </w:r>
          <w:r>
            <w:rPr>
              <w:rStyle w:val="10"/>
            </w:rPr>
            <w:t>（十三）推进校企协同育人</w:t>
          </w:r>
          <w:r>
            <w:tab/>
          </w:r>
          <w:r>
            <w:fldChar w:fldCharType="begin"/>
          </w:r>
          <w:r>
            <w:instrText xml:space="preserve"> PAGEREF _Toc8822003 \h </w:instrText>
          </w:r>
          <w:r>
            <w:fldChar w:fldCharType="separate"/>
          </w:r>
          <w:r>
            <w:t>8</w:t>
          </w:r>
          <w:r>
            <w:fldChar w:fldCharType="end"/>
          </w:r>
          <w:r>
            <w:fldChar w:fldCharType="end"/>
          </w:r>
        </w:p>
        <w:p>
          <w:pPr>
            <w:pStyle w:val="7"/>
            <w:tabs>
              <w:tab w:val="right" w:leader="dot" w:pos="8296"/>
            </w:tabs>
          </w:pPr>
          <w:r>
            <w:fldChar w:fldCharType="begin"/>
          </w:r>
          <w:r>
            <w:instrText xml:space="preserve"> HYPERLINK \l "_Toc8822004" </w:instrText>
          </w:r>
          <w:r>
            <w:fldChar w:fldCharType="separate"/>
          </w:r>
          <w:r>
            <w:rPr>
              <w:rStyle w:val="10"/>
            </w:rPr>
            <w:t>（十四）强化师资队伍建设</w:t>
          </w:r>
          <w:r>
            <w:tab/>
          </w:r>
          <w:r>
            <w:fldChar w:fldCharType="begin"/>
          </w:r>
          <w:r>
            <w:instrText xml:space="preserve"> PAGEREF _Toc8822004 \h </w:instrText>
          </w:r>
          <w:r>
            <w:fldChar w:fldCharType="separate"/>
          </w:r>
          <w:r>
            <w:t>8</w:t>
          </w:r>
          <w:r>
            <w:fldChar w:fldCharType="end"/>
          </w:r>
          <w:r>
            <w:fldChar w:fldCharType="end"/>
          </w:r>
        </w:p>
        <w:p>
          <w:pPr>
            <w:pStyle w:val="7"/>
            <w:tabs>
              <w:tab w:val="right" w:leader="dot" w:pos="8296"/>
            </w:tabs>
          </w:pPr>
          <w:r>
            <w:fldChar w:fldCharType="begin"/>
          </w:r>
          <w:r>
            <w:instrText xml:space="preserve"> HYPERLINK \l "_Toc8822005" </w:instrText>
          </w:r>
          <w:r>
            <w:fldChar w:fldCharType="separate"/>
          </w:r>
          <w:r>
            <w:rPr>
              <w:rStyle w:val="10"/>
            </w:rPr>
            <w:t>（十五）完善考试招生制度</w:t>
          </w:r>
          <w:r>
            <w:tab/>
          </w:r>
          <w:r>
            <w:fldChar w:fldCharType="begin"/>
          </w:r>
          <w:r>
            <w:instrText xml:space="preserve"> PAGEREF _Toc8822005 \h </w:instrText>
          </w:r>
          <w:r>
            <w:fldChar w:fldCharType="separate"/>
          </w:r>
          <w:r>
            <w:t>9</w:t>
          </w:r>
          <w:r>
            <w:fldChar w:fldCharType="end"/>
          </w:r>
          <w:r>
            <w:fldChar w:fldCharType="end"/>
          </w:r>
        </w:p>
        <w:p>
          <w:pPr>
            <w:pStyle w:val="7"/>
            <w:tabs>
              <w:tab w:val="right" w:leader="dot" w:pos="8296"/>
            </w:tabs>
          </w:pPr>
          <w:r>
            <w:fldChar w:fldCharType="begin"/>
          </w:r>
          <w:r>
            <w:instrText xml:space="preserve"> HYPERLINK \l "_Toc8822006" </w:instrText>
          </w:r>
          <w:r>
            <w:fldChar w:fldCharType="separate"/>
          </w:r>
          <w:r>
            <w:rPr>
              <w:rStyle w:val="10"/>
            </w:rPr>
            <w:t>（十六）改革学校治理结构</w:t>
          </w:r>
          <w:r>
            <w:tab/>
          </w:r>
          <w:r>
            <w:fldChar w:fldCharType="begin"/>
          </w:r>
          <w:r>
            <w:instrText xml:space="preserve"> PAGEREF _Toc8822006 \h </w:instrText>
          </w:r>
          <w:r>
            <w:fldChar w:fldCharType="separate"/>
          </w:r>
          <w:r>
            <w:t>9</w:t>
          </w:r>
          <w:r>
            <w:fldChar w:fldCharType="end"/>
          </w:r>
          <w:r>
            <w:fldChar w:fldCharType="end"/>
          </w:r>
        </w:p>
        <w:p>
          <w:pPr>
            <w:pStyle w:val="7"/>
            <w:tabs>
              <w:tab w:val="right" w:leader="dot" w:pos="8296"/>
            </w:tabs>
          </w:pPr>
          <w:r>
            <w:fldChar w:fldCharType="begin"/>
          </w:r>
          <w:r>
            <w:instrText xml:space="preserve"> HYPERLINK \l "_Toc8822007" </w:instrText>
          </w:r>
          <w:r>
            <w:fldChar w:fldCharType="separate"/>
          </w:r>
          <w:r>
            <w:rPr>
              <w:rStyle w:val="10"/>
            </w:rPr>
            <w:t>（十七）创新教育培训服务供给</w:t>
          </w:r>
          <w:r>
            <w:tab/>
          </w:r>
          <w:r>
            <w:fldChar w:fldCharType="begin"/>
          </w:r>
          <w:r>
            <w:instrText xml:space="preserve"> PAGEREF _Toc8822007 \h </w:instrText>
          </w:r>
          <w:r>
            <w:fldChar w:fldCharType="separate"/>
          </w:r>
          <w:r>
            <w:t>10</w:t>
          </w:r>
          <w:r>
            <w:fldChar w:fldCharType="end"/>
          </w:r>
          <w:r>
            <w:fldChar w:fldCharType="end"/>
          </w:r>
        </w:p>
        <w:p>
          <w:pPr>
            <w:pStyle w:val="6"/>
            <w:tabs>
              <w:tab w:val="right" w:leader="dot" w:pos="8296"/>
            </w:tabs>
          </w:pPr>
          <w:r>
            <w:fldChar w:fldCharType="begin"/>
          </w:r>
          <w:r>
            <w:instrText xml:space="preserve"> HYPERLINK \l "_Toc8822008" </w:instrText>
          </w:r>
          <w:r>
            <w:fldChar w:fldCharType="separate"/>
          </w:r>
          <w:r>
            <w:rPr>
              <w:rStyle w:val="10"/>
            </w:rPr>
            <w:t>五、促进产教供需双向对接</w:t>
          </w:r>
          <w:r>
            <w:tab/>
          </w:r>
          <w:r>
            <w:fldChar w:fldCharType="begin"/>
          </w:r>
          <w:r>
            <w:instrText xml:space="preserve"> PAGEREF _Toc8822008 \h </w:instrText>
          </w:r>
          <w:r>
            <w:fldChar w:fldCharType="separate"/>
          </w:r>
          <w:r>
            <w:t>10</w:t>
          </w:r>
          <w:r>
            <w:fldChar w:fldCharType="end"/>
          </w:r>
          <w:r>
            <w:fldChar w:fldCharType="end"/>
          </w:r>
        </w:p>
        <w:p>
          <w:pPr>
            <w:pStyle w:val="7"/>
            <w:tabs>
              <w:tab w:val="right" w:leader="dot" w:pos="8296"/>
            </w:tabs>
          </w:pPr>
          <w:r>
            <w:fldChar w:fldCharType="begin"/>
          </w:r>
          <w:r>
            <w:instrText xml:space="preserve"> HYPERLINK \l "_Toc8822009" </w:instrText>
          </w:r>
          <w:r>
            <w:fldChar w:fldCharType="separate"/>
          </w:r>
          <w:r>
            <w:rPr>
              <w:rStyle w:val="10"/>
            </w:rPr>
            <w:t>（十八）强化行业协调指导</w:t>
          </w:r>
          <w:r>
            <w:tab/>
          </w:r>
          <w:r>
            <w:fldChar w:fldCharType="begin"/>
          </w:r>
          <w:r>
            <w:instrText xml:space="preserve"> PAGEREF _Toc8822009 \h </w:instrText>
          </w:r>
          <w:r>
            <w:fldChar w:fldCharType="separate"/>
          </w:r>
          <w:r>
            <w:t>10</w:t>
          </w:r>
          <w:r>
            <w:fldChar w:fldCharType="end"/>
          </w:r>
          <w:r>
            <w:fldChar w:fldCharType="end"/>
          </w:r>
        </w:p>
        <w:p>
          <w:pPr>
            <w:pStyle w:val="7"/>
            <w:tabs>
              <w:tab w:val="right" w:leader="dot" w:pos="8296"/>
            </w:tabs>
          </w:pPr>
          <w:r>
            <w:fldChar w:fldCharType="begin"/>
          </w:r>
          <w:r>
            <w:instrText xml:space="preserve"> HYPERLINK \l "_Toc8822010" </w:instrText>
          </w:r>
          <w:r>
            <w:fldChar w:fldCharType="separate"/>
          </w:r>
          <w:r>
            <w:rPr>
              <w:rStyle w:val="10"/>
            </w:rPr>
            <w:t>（十九）优化市场中介服务</w:t>
          </w:r>
          <w:r>
            <w:tab/>
          </w:r>
          <w:r>
            <w:fldChar w:fldCharType="begin"/>
          </w:r>
          <w:r>
            <w:instrText xml:space="preserve"> PAGEREF _Toc8822010 \h </w:instrText>
          </w:r>
          <w:r>
            <w:fldChar w:fldCharType="separate"/>
          </w:r>
          <w:r>
            <w:t>10</w:t>
          </w:r>
          <w:r>
            <w:fldChar w:fldCharType="end"/>
          </w:r>
          <w:r>
            <w:fldChar w:fldCharType="end"/>
          </w:r>
        </w:p>
        <w:p>
          <w:pPr>
            <w:pStyle w:val="7"/>
            <w:tabs>
              <w:tab w:val="right" w:leader="dot" w:pos="8296"/>
            </w:tabs>
          </w:pPr>
          <w:r>
            <w:fldChar w:fldCharType="begin"/>
          </w:r>
          <w:r>
            <w:instrText xml:space="preserve"> HYPERLINK \l "_Toc8822011" </w:instrText>
          </w:r>
          <w:r>
            <w:fldChar w:fldCharType="separate"/>
          </w:r>
          <w:r>
            <w:rPr>
              <w:rStyle w:val="10"/>
            </w:rPr>
            <w:t>（二十）打造共享信息平台</w:t>
          </w:r>
          <w:r>
            <w:tab/>
          </w:r>
          <w:r>
            <w:fldChar w:fldCharType="begin"/>
          </w:r>
          <w:r>
            <w:instrText xml:space="preserve"> PAGEREF _Toc8822011 \h </w:instrText>
          </w:r>
          <w:r>
            <w:fldChar w:fldCharType="separate"/>
          </w:r>
          <w:r>
            <w:t>11</w:t>
          </w:r>
          <w:r>
            <w:fldChar w:fldCharType="end"/>
          </w:r>
          <w:r>
            <w:fldChar w:fldCharType="end"/>
          </w:r>
        </w:p>
        <w:p>
          <w:pPr>
            <w:pStyle w:val="6"/>
            <w:tabs>
              <w:tab w:val="right" w:leader="dot" w:pos="8296"/>
            </w:tabs>
          </w:pPr>
          <w:r>
            <w:fldChar w:fldCharType="begin"/>
          </w:r>
          <w:r>
            <w:instrText xml:space="preserve"> HYPERLINK \l "_Toc8822012" </w:instrText>
          </w:r>
          <w:r>
            <w:fldChar w:fldCharType="separate"/>
          </w:r>
          <w:r>
            <w:rPr>
              <w:rStyle w:val="10"/>
            </w:rPr>
            <w:t>六、强化产教融合支撑保障</w:t>
          </w:r>
          <w:r>
            <w:tab/>
          </w:r>
          <w:r>
            <w:fldChar w:fldCharType="begin"/>
          </w:r>
          <w:r>
            <w:instrText xml:space="preserve"> PAGEREF _Toc8822012 \h </w:instrText>
          </w:r>
          <w:r>
            <w:fldChar w:fldCharType="separate"/>
          </w:r>
          <w:r>
            <w:t>11</w:t>
          </w:r>
          <w:r>
            <w:fldChar w:fldCharType="end"/>
          </w:r>
          <w:r>
            <w:fldChar w:fldCharType="end"/>
          </w:r>
        </w:p>
        <w:p>
          <w:pPr>
            <w:pStyle w:val="7"/>
            <w:tabs>
              <w:tab w:val="right" w:leader="dot" w:pos="8296"/>
            </w:tabs>
          </w:pPr>
          <w:r>
            <w:fldChar w:fldCharType="begin"/>
          </w:r>
          <w:r>
            <w:instrText xml:space="preserve"> HYPERLINK \l "_Toc8822013" </w:instrText>
          </w:r>
          <w:r>
            <w:fldChar w:fldCharType="separate"/>
          </w:r>
          <w:r>
            <w:rPr>
              <w:rStyle w:val="10"/>
            </w:rPr>
            <w:t>（二十一）实施产教融合发展工程</w:t>
          </w:r>
          <w:r>
            <w:tab/>
          </w:r>
          <w:r>
            <w:fldChar w:fldCharType="begin"/>
          </w:r>
          <w:r>
            <w:instrText xml:space="preserve"> PAGEREF _Toc8822013 \h </w:instrText>
          </w:r>
          <w:r>
            <w:fldChar w:fldCharType="separate"/>
          </w:r>
          <w:r>
            <w:t>11</w:t>
          </w:r>
          <w:r>
            <w:fldChar w:fldCharType="end"/>
          </w:r>
          <w:r>
            <w:fldChar w:fldCharType="end"/>
          </w:r>
        </w:p>
        <w:p>
          <w:pPr>
            <w:pStyle w:val="7"/>
            <w:tabs>
              <w:tab w:val="right" w:leader="dot" w:pos="8296"/>
            </w:tabs>
          </w:pPr>
          <w:r>
            <w:fldChar w:fldCharType="begin"/>
          </w:r>
          <w:r>
            <w:instrText xml:space="preserve"> HYPERLINK \l "_Toc8822014" </w:instrText>
          </w:r>
          <w:r>
            <w:fldChar w:fldCharType="separate"/>
          </w:r>
          <w:r>
            <w:rPr>
              <w:rStyle w:val="10"/>
            </w:rPr>
            <w:t>（二十二）开展试点示范</w:t>
          </w:r>
          <w:r>
            <w:tab/>
          </w:r>
          <w:r>
            <w:fldChar w:fldCharType="begin"/>
          </w:r>
          <w:r>
            <w:instrText xml:space="preserve"> PAGEREF _Toc8822014 \h </w:instrText>
          </w:r>
          <w:r>
            <w:fldChar w:fldCharType="separate"/>
          </w:r>
          <w:r>
            <w:t>12</w:t>
          </w:r>
          <w:r>
            <w:fldChar w:fldCharType="end"/>
          </w:r>
          <w:r>
            <w:fldChar w:fldCharType="end"/>
          </w:r>
        </w:p>
        <w:p>
          <w:pPr>
            <w:pStyle w:val="7"/>
            <w:tabs>
              <w:tab w:val="right" w:leader="dot" w:pos="8296"/>
            </w:tabs>
          </w:pPr>
          <w:r>
            <w:fldChar w:fldCharType="begin"/>
          </w:r>
          <w:r>
            <w:instrText xml:space="preserve"> HYPERLINK \l "_Toc8822015" </w:instrText>
          </w:r>
          <w:r>
            <w:fldChar w:fldCharType="separate"/>
          </w:r>
          <w:r>
            <w:rPr>
              <w:rStyle w:val="10"/>
            </w:rPr>
            <w:t>（二十三）加大政策扶持力度</w:t>
          </w:r>
          <w:r>
            <w:tab/>
          </w:r>
          <w:r>
            <w:fldChar w:fldCharType="begin"/>
          </w:r>
          <w:r>
            <w:instrText xml:space="preserve"> PAGEREF _Toc8822015 \h </w:instrText>
          </w:r>
          <w:r>
            <w:fldChar w:fldCharType="separate"/>
          </w:r>
          <w:r>
            <w:t>12</w:t>
          </w:r>
          <w:r>
            <w:fldChar w:fldCharType="end"/>
          </w:r>
          <w:r>
            <w:fldChar w:fldCharType="end"/>
          </w:r>
        </w:p>
        <w:p>
          <w:pPr>
            <w:pStyle w:val="7"/>
            <w:tabs>
              <w:tab w:val="right" w:leader="dot" w:pos="8296"/>
            </w:tabs>
          </w:pPr>
          <w:r>
            <w:fldChar w:fldCharType="begin"/>
          </w:r>
          <w:r>
            <w:instrText xml:space="preserve"> HYPERLINK \l "_Toc8822016" </w:instrText>
          </w:r>
          <w:r>
            <w:fldChar w:fldCharType="separate"/>
          </w:r>
          <w:r>
            <w:rPr>
              <w:rStyle w:val="10"/>
            </w:rPr>
            <w:t>（二十四）加强省际和国际交流合作</w:t>
          </w:r>
          <w:r>
            <w:tab/>
          </w:r>
          <w:r>
            <w:fldChar w:fldCharType="begin"/>
          </w:r>
          <w:r>
            <w:instrText xml:space="preserve"> PAGEREF _Toc8822016 \h </w:instrText>
          </w:r>
          <w:r>
            <w:fldChar w:fldCharType="separate"/>
          </w:r>
          <w:r>
            <w:t>12</w:t>
          </w:r>
          <w:r>
            <w:fldChar w:fldCharType="end"/>
          </w:r>
          <w:r>
            <w:fldChar w:fldCharType="end"/>
          </w:r>
        </w:p>
        <w:p>
          <w:pPr>
            <w:pStyle w:val="7"/>
            <w:tabs>
              <w:tab w:val="right" w:leader="dot" w:pos="8296"/>
            </w:tabs>
          </w:pPr>
          <w:r>
            <w:fldChar w:fldCharType="begin"/>
          </w:r>
          <w:r>
            <w:instrText xml:space="preserve"> HYPERLINK \l "_Toc8822017" </w:instrText>
          </w:r>
          <w:r>
            <w:fldChar w:fldCharType="separate"/>
          </w:r>
          <w:r>
            <w:rPr>
              <w:rStyle w:val="10"/>
            </w:rPr>
            <w:t>（二十五）强化工作协调</w:t>
          </w:r>
          <w:r>
            <w:tab/>
          </w:r>
          <w:r>
            <w:fldChar w:fldCharType="begin"/>
          </w:r>
          <w:r>
            <w:instrText xml:space="preserve"> PAGEREF _Toc8822017 \h </w:instrText>
          </w:r>
          <w:r>
            <w:fldChar w:fldCharType="separate"/>
          </w:r>
          <w:r>
            <w:t>13</w:t>
          </w:r>
          <w:r>
            <w:fldChar w:fldCharType="end"/>
          </w:r>
          <w:r>
            <w:fldChar w:fldCharType="end"/>
          </w:r>
        </w:p>
        <w:p>
          <w:pPr>
            <w:pStyle w:val="7"/>
            <w:tabs>
              <w:tab w:val="right" w:leader="dot" w:pos="8296"/>
            </w:tabs>
          </w:pPr>
          <w:r>
            <w:fldChar w:fldCharType="begin"/>
          </w:r>
          <w:r>
            <w:instrText xml:space="preserve"> HYPERLINK \l "_Toc8822018" </w:instrText>
          </w:r>
          <w:r>
            <w:fldChar w:fldCharType="separate"/>
          </w:r>
          <w:r>
            <w:rPr>
              <w:rStyle w:val="10"/>
            </w:rPr>
            <w:t>（二十六）营造良好氛围</w:t>
          </w:r>
          <w:r>
            <w:tab/>
          </w:r>
          <w:r>
            <w:fldChar w:fldCharType="begin"/>
          </w:r>
          <w:r>
            <w:instrText xml:space="preserve"> PAGEREF _Toc8822018 \h </w:instrText>
          </w:r>
          <w:r>
            <w:fldChar w:fldCharType="separate"/>
          </w:r>
          <w:r>
            <w:t>13</w:t>
          </w:r>
          <w:r>
            <w:fldChar w:fldCharType="end"/>
          </w:r>
          <w:r>
            <w:fldChar w:fldCharType="end"/>
          </w:r>
        </w:p>
        <w:p>
          <w:r>
            <w:rPr>
              <w:b/>
              <w:bCs/>
              <w:lang w:val="zh-CN"/>
            </w:rPr>
            <w:fldChar w:fldCharType="end"/>
          </w:r>
        </w:p>
      </w:sdtContent>
    </w:sdt>
    <w:p>
      <w:pPr>
        <w:widowControl/>
        <w:jc w:val="center"/>
        <w:rPr>
          <w:rFonts w:ascii="ˎ̥" w:hAnsi="ˎ̥" w:eastAsia="宋体" w:cs="宋体"/>
          <w:b/>
          <w:color w:val="666666"/>
          <w:kern w:val="0"/>
          <w:sz w:val="18"/>
          <w:szCs w:val="18"/>
        </w:rPr>
      </w:pPr>
    </w:p>
    <w:p>
      <w:pPr>
        <w:widowControl/>
        <w:jc w:val="center"/>
        <w:rPr>
          <w:rFonts w:ascii="ˎ̥" w:hAnsi="ˎ̥" w:eastAsia="宋体" w:cs="宋体"/>
          <w:b/>
          <w:color w:val="666666"/>
          <w:kern w:val="0"/>
          <w:sz w:val="18"/>
          <w:szCs w:val="18"/>
        </w:rPr>
      </w:pPr>
    </w:p>
    <w:p>
      <w:pPr>
        <w:widowControl/>
        <w:jc w:val="center"/>
        <w:rPr>
          <w:rFonts w:ascii="ˎ̥" w:hAnsi="ˎ̥" w:eastAsia="宋体" w:cs="宋体"/>
          <w:b/>
          <w:color w:val="666666"/>
          <w:kern w:val="0"/>
          <w:sz w:val="18"/>
          <w:szCs w:val="18"/>
        </w:rPr>
      </w:pPr>
    </w:p>
    <w:p>
      <w:pPr>
        <w:widowControl/>
        <w:jc w:val="center"/>
        <w:rPr>
          <w:rFonts w:ascii="ˎ̥" w:hAnsi="ˎ̥" w:eastAsia="宋体" w:cs="宋体"/>
          <w:b/>
          <w:color w:val="666666"/>
          <w:kern w:val="0"/>
          <w:sz w:val="18"/>
          <w:szCs w:val="18"/>
        </w:rPr>
      </w:pPr>
    </w:p>
    <w:p>
      <w:pPr>
        <w:widowControl/>
        <w:jc w:val="center"/>
        <w:rPr>
          <w:rFonts w:ascii="ˎ̥" w:hAnsi="ˎ̥" w:eastAsia="宋体" w:cs="宋体"/>
          <w:b/>
          <w:color w:val="666666"/>
          <w:kern w:val="0"/>
          <w:sz w:val="18"/>
          <w:szCs w:val="18"/>
        </w:rPr>
      </w:pPr>
    </w:p>
    <w:p>
      <w:pPr>
        <w:widowControl/>
        <w:jc w:val="center"/>
        <w:rPr>
          <w:rFonts w:ascii="ˎ̥" w:hAnsi="ˎ̥" w:eastAsia="宋体" w:cs="宋体"/>
          <w:b/>
          <w:color w:val="666666"/>
          <w:kern w:val="0"/>
          <w:sz w:val="18"/>
          <w:szCs w:val="18"/>
        </w:rPr>
      </w:pPr>
    </w:p>
    <w:p>
      <w:pPr>
        <w:widowControl/>
        <w:jc w:val="center"/>
        <w:rPr>
          <w:rFonts w:hint="eastAsia" w:ascii="ˎ̥" w:hAnsi="ˎ̥" w:eastAsia="宋体" w:cs="宋体"/>
          <w:b/>
          <w:color w:val="666666"/>
          <w:kern w:val="0"/>
          <w:sz w:val="18"/>
          <w:szCs w:val="18"/>
        </w:rPr>
      </w:pPr>
      <w:r>
        <w:rPr>
          <w:rFonts w:ascii="ˎ̥" w:hAnsi="ˎ̥" w:eastAsia="宋体" w:cs="宋体"/>
          <w:b/>
          <w:color w:val="666666"/>
          <w:kern w:val="0"/>
          <w:sz w:val="18"/>
          <w:szCs w:val="18"/>
        </w:rPr>
        <w:t>安徽省人民政府办公厅</w:t>
      </w:r>
      <w:r>
        <w:rPr>
          <w:rFonts w:ascii="ˎ̥" w:hAnsi="ˎ̥" w:eastAsia="宋体" w:cs="宋体"/>
          <w:b/>
          <w:color w:val="666666"/>
          <w:kern w:val="0"/>
          <w:sz w:val="18"/>
          <w:szCs w:val="18"/>
        </w:rPr>
        <w:br w:type="textWrapping"/>
      </w:r>
      <w:r>
        <w:rPr>
          <w:rFonts w:ascii="ˎ̥" w:hAnsi="ˎ̥" w:eastAsia="宋体" w:cs="宋体"/>
          <w:b/>
          <w:color w:val="666666"/>
          <w:kern w:val="0"/>
          <w:sz w:val="18"/>
          <w:szCs w:val="18"/>
        </w:rPr>
        <w:t>关于深化产教融合的实施意见</w:t>
      </w:r>
      <w:r>
        <w:rPr>
          <w:rFonts w:hint="eastAsia" w:ascii="ˎ̥" w:hAnsi="ˎ̥" w:eastAsia="宋体" w:cs="宋体"/>
          <w:b/>
          <w:color w:val="666666"/>
          <w:kern w:val="0"/>
          <w:sz w:val="18"/>
          <w:szCs w:val="18"/>
        </w:rPr>
        <w:t xml:space="preserve"> </w:t>
      </w:r>
      <w:r>
        <w:rPr>
          <w:rFonts w:ascii="ˎ̥" w:hAnsi="ˎ̥" w:eastAsia="宋体" w:cs="宋体"/>
          <w:b/>
          <w:color w:val="666666"/>
          <w:kern w:val="0"/>
          <w:sz w:val="18"/>
          <w:szCs w:val="18"/>
        </w:rPr>
        <w:t>2018.2</w:t>
      </w:r>
    </w:p>
    <w:p>
      <w:pPr>
        <w:widowControl/>
        <w:shd w:val="clear" w:color="auto" w:fill="F7F7F7"/>
        <w:spacing w:before="100" w:beforeAutospacing="1" w:after="100" w:afterAutospacing="1"/>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各市、县人民政府，省政府各部门、各直属机构：</w:t>
      </w:r>
      <w:r>
        <w:rPr>
          <w:rFonts w:hint="eastAsia" w:ascii="宋体" w:hAnsi="宋体" w:eastAsia="宋体" w:cs="宋体"/>
          <w:color w:val="333333"/>
          <w:kern w:val="0"/>
          <w:sz w:val="24"/>
          <w:szCs w:val="24"/>
        </w:rPr>
        <w:t xml:space="preserve"> </w:t>
      </w:r>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为贯彻落实《国务院办公厅关于深化产教融合的若干意见》（国办发〔</w:t>
      </w:r>
      <w:r>
        <w:rPr>
          <w:rFonts w:hint="eastAsia" w:ascii="宋体" w:hAnsi="宋体" w:eastAsia="宋体" w:cs="宋体"/>
          <w:color w:val="333333"/>
          <w:kern w:val="0"/>
          <w:sz w:val="32"/>
          <w:szCs w:val="32"/>
        </w:rPr>
        <w:t>2017</w:t>
      </w:r>
      <w:r>
        <w:rPr>
          <w:rFonts w:hint="eastAsia" w:ascii="方正仿宋_GBK" w:hAnsi="宋体" w:eastAsia="方正仿宋_GBK" w:cs="宋体"/>
          <w:color w:val="333333"/>
          <w:kern w:val="0"/>
          <w:sz w:val="32"/>
          <w:szCs w:val="32"/>
        </w:rPr>
        <w:t>〕</w:t>
      </w:r>
      <w:r>
        <w:rPr>
          <w:rFonts w:hint="eastAsia" w:ascii="宋体" w:hAnsi="宋体" w:eastAsia="宋体" w:cs="宋体"/>
          <w:color w:val="333333"/>
          <w:kern w:val="0"/>
          <w:sz w:val="32"/>
          <w:szCs w:val="32"/>
        </w:rPr>
        <w:t>95</w:t>
      </w:r>
      <w:r>
        <w:rPr>
          <w:rFonts w:hint="eastAsia" w:ascii="方正仿宋_GBK" w:hAnsi="宋体" w:eastAsia="方正仿宋_GBK" w:cs="宋体"/>
          <w:color w:val="333333"/>
          <w:kern w:val="0"/>
          <w:sz w:val="32"/>
          <w:szCs w:val="32"/>
        </w:rPr>
        <w:t>号）精神，进一步深化产教融合发展，促进教育链、人才链与产业链、创新链有机衔接，全面提高教育质量，扩大就业创业、推进经济转型升级、培育经济发展新动能，经省政府同意，现提出以下实施意见。</w:t>
      </w:r>
      <w:r>
        <w:rPr>
          <w:rFonts w:hint="eastAsia" w:ascii="宋体" w:hAnsi="宋体" w:eastAsia="宋体" w:cs="宋体"/>
          <w:color w:val="333333"/>
          <w:kern w:val="0"/>
          <w:sz w:val="24"/>
          <w:szCs w:val="24"/>
        </w:rPr>
        <w:t xml:space="preserve"> </w:t>
      </w:r>
    </w:p>
    <w:p>
      <w:pPr>
        <w:pStyle w:val="2"/>
        <w:rPr>
          <w:rFonts w:ascii="宋体" w:eastAsia="宋体"/>
          <w:sz w:val="24"/>
          <w:szCs w:val="24"/>
        </w:rPr>
      </w:pPr>
      <w:bookmarkStart w:id="0" w:name="_Toc8821987"/>
      <w:r>
        <w:rPr>
          <w:rFonts w:hint="eastAsia"/>
        </w:rPr>
        <w:t>一、总体要求</w:t>
      </w:r>
      <w:bookmarkEnd w:id="0"/>
      <w:r>
        <w:rPr>
          <w:rFonts w:hint="eastAsia" w:ascii="宋体" w:eastAsia="宋体"/>
          <w:sz w:val="24"/>
          <w:szCs w:val="24"/>
        </w:rPr>
        <w:t xml:space="preserve"> </w:t>
      </w:r>
    </w:p>
    <w:p>
      <w:pPr>
        <w:pStyle w:val="3"/>
      </w:pPr>
      <w:bookmarkStart w:id="1" w:name="_Toc8821988"/>
      <w:r>
        <w:rPr>
          <w:rFonts w:hint="eastAsia"/>
        </w:rPr>
        <w:t>（一）指导思想。</w:t>
      </w:r>
      <w:bookmarkEnd w:id="1"/>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以习近平新时代中国特色社会主义思想为指导，全面贯彻党的十九大精神，深入贯彻落实习近平总书记视察安徽重要讲话精神，统筹推进“五位一体”总体布局，协调推进“四个全面”战略布局，全面贯彻党中央、国务院关于教育综合改革的决策部署，按照统筹协调、共同推进，服务需求、优化结构，校企协同、合作育人的原则，认真落实五大发展行动计划，深化职业教育、高等教育等改革，发挥企业重要主体作用，促进人才培养供给侧和产业需求侧结构要素全方位融合，培养高素质创新人才和技术技能人才，为加快建设实体经济、科技创新、现代金融、人力资源协同发展的产业体系，增强产业核心竞争力，加快建设现代化五大发展美好安徽提供有力支撑。</w:t>
      </w:r>
      <w:r>
        <w:rPr>
          <w:rFonts w:hint="eastAsia" w:ascii="宋体" w:hAnsi="宋体" w:eastAsia="宋体" w:cs="宋体"/>
          <w:color w:val="333333"/>
          <w:kern w:val="0"/>
          <w:sz w:val="24"/>
          <w:szCs w:val="24"/>
        </w:rPr>
        <w:t xml:space="preserve"> </w:t>
      </w:r>
    </w:p>
    <w:p>
      <w:pPr>
        <w:pStyle w:val="3"/>
      </w:pPr>
      <w:bookmarkStart w:id="2" w:name="_Toc8821989"/>
      <w:r>
        <w:rPr>
          <w:rFonts w:hint="eastAsia"/>
        </w:rPr>
        <w:t>（二）发展目标。</w:t>
      </w:r>
      <w:bookmarkEnd w:id="2"/>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提高行业企业参与办学程度，健全多元化办学体制，加快推进我省“双一流”大学建设和高水平综合型、应用型大学建设。促进职业教育特色化发展，加快省级职业教育示范“专业</w:t>
      </w:r>
      <w:r>
        <w:rPr>
          <w:rFonts w:hint="eastAsia" w:ascii="宋体" w:hAnsi="宋体" w:eastAsia="宋体" w:cs="宋体"/>
          <w:color w:val="333333"/>
          <w:kern w:val="0"/>
          <w:sz w:val="32"/>
          <w:szCs w:val="32"/>
        </w:rPr>
        <w:t>+</w:t>
      </w:r>
      <w:r>
        <w:rPr>
          <w:rFonts w:hint="eastAsia" w:ascii="方正仿宋_GBK" w:hAnsi="宋体" w:eastAsia="方正仿宋_GBK" w:cs="宋体"/>
          <w:color w:val="333333"/>
          <w:kern w:val="0"/>
          <w:sz w:val="32"/>
          <w:szCs w:val="32"/>
        </w:rPr>
        <w:t>实训基地”、示范职教集团、高技术技能人才培训基地和产学研合作联盟建设。通过</w:t>
      </w:r>
      <w:r>
        <w:rPr>
          <w:rFonts w:hint="eastAsia" w:ascii="宋体" w:hAnsi="宋体" w:eastAsia="宋体" w:cs="宋体"/>
          <w:color w:val="333333"/>
          <w:kern w:val="0"/>
          <w:sz w:val="32"/>
          <w:szCs w:val="32"/>
        </w:rPr>
        <w:t>10</w:t>
      </w:r>
      <w:r>
        <w:rPr>
          <w:rFonts w:hint="eastAsia" w:ascii="方正仿宋_GBK" w:hAnsi="宋体" w:eastAsia="方正仿宋_GBK" w:cs="宋体"/>
          <w:color w:val="333333"/>
          <w:kern w:val="0"/>
          <w:sz w:val="32"/>
          <w:szCs w:val="32"/>
        </w:rPr>
        <w:t>年左右的努力，基本实现教育和产业统筹融合，校企协同育人机制全面推行，需求导向的人才培养模式健全完善，高等教育、职业教育对经济发展和产业升级的贡献显著增强。</w:t>
      </w:r>
      <w:r>
        <w:rPr>
          <w:rFonts w:hint="eastAsia" w:ascii="宋体" w:hAnsi="宋体" w:eastAsia="宋体" w:cs="宋体"/>
          <w:color w:val="333333"/>
          <w:kern w:val="0"/>
          <w:sz w:val="24"/>
          <w:szCs w:val="24"/>
        </w:rPr>
        <w:t xml:space="preserve"> </w:t>
      </w:r>
    </w:p>
    <w:p>
      <w:pPr>
        <w:pStyle w:val="2"/>
        <w:rPr>
          <w:rFonts w:ascii="宋体" w:eastAsia="宋体"/>
          <w:sz w:val="24"/>
          <w:szCs w:val="24"/>
        </w:rPr>
      </w:pPr>
      <w:bookmarkStart w:id="3" w:name="_Toc8821990"/>
      <w:r>
        <w:rPr>
          <w:rFonts w:hint="eastAsia"/>
        </w:rPr>
        <w:t>二、构建教育和产业深度融合发展格局</w:t>
      </w:r>
      <w:bookmarkEnd w:id="3"/>
      <w:r>
        <w:rPr>
          <w:rFonts w:hint="eastAsia" w:ascii="宋体" w:eastAsia="宋体"/>
          <w:sz w:val="24"/>
          <w:szCs w:val="24"/>
        </w:rPr>
        <w:t xml:space="preserve"> </w:t>
      </w:r>
    </w:p>
    <w:p>
      <w:pPr>
        <w:pStyle w:val="3"/>
      </w:pPr>
      <w:bookmarkStart w:id="4" w:name="_Toc8821991"/>
      <w:r>
        <w:rPr>
          <w:rFonts w:hint="eastAsia"/>
        </w:rPr>
        <w:t>（三）统筹产教融合规划布局</w:t>
      </w:r>
      <w:bookmarkEnd w:id="4"/>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将产教融合纳入全省经济社会发展规划以及区域发展、产业发展、城市建设和重大生产力布局规划。结合全面实施创新驱动发展、科教兴皖、人才强省战略，同步规划产教融合政策措施、支持方式、实现途径和重大项目。支持合芜蚌国家自主创新示范区、皖江城市带承接产业转移示范区发展高等职业教育，重点打造全国重要的先进制造业职业教育基地。支持皖北、皖南和大别山区统筹中高职发展，推进职教园区建设，打造一批“江淮工匠”培养基地。建立和完善省级示范职业学校定点帮扶贫困地区县级中等职业学校制度。支持合肥、芜湖、蚌埠等产业集中度较高的地区围绕主导产业建设一批公共实训基地、高技术技能人才培训基地。</w:t>
      </w:r>
      <w:r>
        <w:rPr>
          <w:rFonts w:hint="eastAsia" w:ascii="宋体" w:hAnsi="宋体" w:eastAsia="宋体" w:cs="宋体"/>
          <w:color w:val="333333"/>
          <w:kern w:val="0"/>
          <w:sz w:val="24"/>
          <w:szCs w:val="24"/>
        </w:rPr>
        <w:t xml:space="preserve"> </w:t>
      </w:r>
    </w:p>
    <w:p>
      <w:pPr>
        <w:pStyle w:val="3"/>
      </w:pPr>
      <w:bookmarkStart w:id="5" w:name="_Toc8821992"/>
      <w:r>
        <w:rPr>
          <w:rFonts w:hint="eastAsia"/>
        </w:rPr>
        <w:t>（四）促进高等教育融入国家和区域创新体系。</w:t>
      </w:r>
      <w:bookmarkEnd w:id="5"/>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支持中国科学技术大学、国防科技大学（合肥校区）、合肥工业大学、安徽大学建设世界一流大学和一流学科，充分发挥“双一流”建设对合肥综合性国家科学中心、合肥滨湖科学城、合芜蚌国家自主创新示范区、全面创新改革试验省的支撑引领作用。支持中国科学技术大学先进技术研究院、中国科学院（合肥）技术创新工程院、合肥工业大学智能制造技术研究院等新型研发机构开展关键共性技术研究和科技成果转化，为“三重一创”建设提供技术支撑。实施更加完善的高等学校分类发展政策体系，努力建成一批国内高水平综合型和应用型大学。推动高等学校整合各类资源、平台、要素，与行业骨干企业、中小微创新创业企业建立紧密协同的创新生态系统，增强人才集聚和产业牵引升级能力。</w:t>
      </w:r>
      <w:r>
        <w:rPr>
          <w:rFonts w:hint="eastAsia" w:ascii="宋体" w:hAnsi="宋体" w:eastAsia="宋体" w:cs="宋体"/>
          <w:color w:val="333333"/>
          <w:kern w:val="0"/>
          <w:sz w:val="24"/>
          <w:szCs w:val="24"/>
        </w:rPr>
        <w:t xml:space="preserve"> </w:t>
      </w:r>
    </w:p>
    <w:p>
      <w:pPr>
        <w:pStyle w:val="3"/>
      </w:pPr>
      <w:bookmarkStart w:id="6" w:name="_Toc8821993"/>
      <w:r>
        <w:rPr>
          <w:rFonts w:hint="eastAsia"/>
        </w:rPr>
        <w:t>（五）完善产教融合学科专业体系</w:t>
      </w:r>
      <w:bookmarkEnd w:id="6"/>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建立紧密对接产业链、创新链和我省战略性新兴产业发展的学科专业体系，重点建设一批具有较好办学基础、经济社会发展急需的专业和专业群。以推进“三重一创”建设为重点，以新兴产业培育为方向，大力发展现代农业、智能制造、高端装备、新一代信息技术、生物医药、节能环保、新能源、新材料以及研发设计、电子商务、智慧物流等产业急需紧缺学科专业。积极支持家政、健康、养老、文化、旅游等社会领域专业发展。加强智慧城市、智能建筑等城市可持续发展能力相关专业建设。适应新一轮科技革命和产业变革及新经济发展，促进学科专业交叉融合，加快推进新工科建设。</w:t>
      </w:r>
      <w:r>
        <w:rPr>
          <w:rFonts w:hint="eastAsia" w:ascii="宋体" w:hAnsi="宋体" w:eastAsia="宋体" w:cs="宋体"/>
          <w:color w:val="333333"/>
          <w:kern w:val="0"/>
          <w:sz w:val="24"/>
          <w:szCs w:val="24"/>
        </w:rPr>
        <w:t xml:space="preserve"> </w:t>
      </w:r>
    </w:p>
    <w:p>
      <w:pPr>
        <w:pStyle w:val="3"/>
      </w:pPr>
      <w:bookmarkStart w:id="7" w:name="_Toc8821994"/>
      <w:r>
        <w:rPr>
          <w:rFonts w:hint="eastAsia"/>
        </w:rPr>
        <w:t>（六）强化人才培养需求导向</w:t>
      </w:r>
      <w:bookmarkEnd w:id="7"/>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建立人才需求预测预警机制，持续发布高校毕业生就业质量年度报告和专业布局与需求分析报告。完善专业准入与退出制度，把市场供求比例、就业质量作为学校设置调整学科专业、确定培养规模的重要依据。加快推进教育“放管服”改革，注重发挥市场机制配置非基本公共教育资源作用。鼓励职业学校和高等学校服务我省产业转型升级需要，适应产业分工从价值链中低端向中高端转变对人才需求的变化，加大创新型人才尤其是产业创新人才培养力度，提高高层次人才培养比重。完善产业创新人才激励政策，鼓励“双一流”建设高校以及高水平综合型和应用型大学毕业生在省内就业创业。</w:t>
      </w:r>
      <w:r>
        <w:rPr>
          <w:rFonts w:hint="eastAsia" w:ascii="宋体" w:hAnsi="宋体" w:eastAsia="宋体" w:cs="宋体"/>
          <w:color w:val="333333"/>
          <w:kern w:val="0"/>
          <w:sz w:val="24"/>
          <w:szCs w:val="24"/>
        </w:rPr>
        <w:t xml:space="preserve"> </w:t>
      </w:r>
    </w:p>
    <w:p>
      <w:pPr>
        <w:pStyle w:val="2"/>
        <w:rPr>
          <w:rFonts w:ascii="宋体" w:eastAsia="宋体"/>
          <w:sz w:val="24"/>
          <w:szCs w:val="24"/>
        </w:rPr>
      </w:pPr>
      <w:bookmarkStart w:id="8" w:name="_Toc8821995"/>
      <w:r>
        <w:rPr>
          <w:rFonts w:hint="eastAsia"/>
        </w:rPr>
        <w:t>三、发挥企业产教融合重要主体作用</w:t>
      </w:r>
      <w:bookmarkEnd w:id="8"/>
      <w:r>
        <w:rPr>
          <w:rFonts w:hint="eastAsia" w:ascii="宋体" w:eastAsia="宋体"/>
          <w:sz w:val="24"/>
          <w:szCs w:val="24"/>
        </w:rPr>
        <w:t xml:space="preserve"> </w:t>
      </w:r>
    </w:p>
    <w:p>
      <w:pPr>
        <w:pStyle w:val="3"/>
      </w:pPr>
      <w:bookmarkStart w:id="9" w:name="_Toc8821996"/>
      <w:r>
        <w:rPr>
          <w:rFonts w:hint="eastAsia"/>
        </w:rPr>
        <w:t>（七）拓宽企业参与途径</w:t>
      </w:r>
      <w:bookmarkEnd w:id="9"/>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支持企业以独资、合资、合作等方式依法参与举办职业教育、高等教育。坚持准入条件透明化、审批范围最小化，改进办学准入条件和审批环节。有序推进职业学校股份制、混合所有制改革，允许以资本、知识、技术、设备、管理等要素参与办学并享有相应权利。支持企业通过购买服务、委托管理等方式参与公办职业学校办学。鼓励骨干企业联合职业学校、高等院校、科研院所共同组建产教融合集团（联盟），注重发挥省属国有企业的示范引领作用。建立校企互派工作人员机制。</w:t>
      </w:r>
      <w:r>
        <w:rPr>
          <w:rFonts w:hint="eastAsia" w:ascii="宋体" w:hAnsi="宋体" w:eastAsia="宋体" w:cs="宋体"/>
          <w:color w:val="333333"/>
          <w:kern w:val="0"/>
          <w:sz w:val="24"/>
          <w:szCs w:val="24"/>
        </w:rPr>
        <w:t xml:space="preserve"> </w:t>
      </w:r>
    </w:p>
    <w:p>
      <w:pPr>
        <w:pStyle w:val="3"/>
      </w:pPr>
      <w:bookmarkStart w:id="10" w:name="_Toc8821997"/>
      <w:r>
        <w:rPr>
          <w:rFonts w:hint="eastAsia"/>
        </w:rPr>
        <w:t>（八）深化“引企入教”改革</w:t>
      </w:r>
      <w:bookmarkEnd w:id="10"/>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支持引导企业深度参与职业学校、高等学校教育教学改革，多种方式参与学校专业规划、教材开发、教学设计，共建兼具生产与教学功能的公共实训基地、技术工艺和产品开发中心、实验实训平台、技能大师工作室等，促进企业需求融入人才培养环节。探索建立高等学校与企业招生、培养、就业联动机制，鼓励省内企业与职业学校开展紧缺工种技能人才定向培养合作，企业所在地人民政府对定向培养费用给予补助。职业学校新设专业原则上应有相关行业企业参与。</w:t>
      </w:r>
      <w:r>
        <w:rPr>
          <w:rFonts w:hint="eastAsia" w:ascii="宋体" w:hAnsi="宋体" w:eastAsia="宋体" w:cs="宋体"/>
          <w:color w:val="333333"/>
          <w:kern w:val="0"/>
          <w:sz w:val="24"/>
          <w:szCs w:val="24"/>
        </w:rPr>
        <w:t xml:space="preserve"> </w:t>
      </w:r>
    </w:p>
    <w:p>
      <w:pPr>
        <w:pStyle w:val="3"/>
      </w:pPr>
      <w:bookmarkStart w:id="11" w:name="_Toc8821998"/>
      <w:r>
        <w:rPr>
          <w:rFonts w:hint="eastAsia"/>
        </w:rPr>
        <w:t>（九）开展生产性实习实训</w:t>
      </w:r>
      <w:bookmarkEnd w:id="11"/>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健全学生到企业实习实训制度，校企共同制定实习实训计划，合理安排实习实训内容和岗位。推动职业学校把实习实训基地建在企业、企业把人才培养和培训基地建在学校，探索引校进厂、引厂进校、前店后校等校企一体化合作形式。支持各市依托学校建设行业或区域性实训基地，带动中小企业参与校企合作。探索通过购买服务、落实税收政策等方式，鼓励企业更多接收学生实习。推进实习实训规范化，保障学生享有获得合理报酬等合法权益。</w:t>
      </w:r>
      <w:r>
        <w:rPr>
          <w:rFonts w:hint="eastAsia" w:ascii="宋体" w:hAnsi="宋体" w:eastAsia="宋体" w:cs="宋体"/>
          <w:color w:val="333333"/>
          <w:kern w:val="0"/>
          <w:sz w:val="24"/>
          <w:szCs w:val="24"/>
        </w:rPr>
        <w:t xml:space="preserve"> </w:t>
      </w:r>
    </w:p>
    <w:p>
      <w:pPr>
        <w:pStyle w:val="3"/>
      </w:pPr>
      <w:bookmarkStart w:id="12" w:name="_Toc8821999"/>
      <w:r>
        <w:rPr>
          <w:rFonts w:hint="eastAsia"/>
        </w:rPr>
        <w:t>（十）推进协同创新和成果转化</w:t>
      </w:r>
      <w:bookmarkEnd w:id="12"/>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支持高等学校联合企业、科研院所围绕产业关键技术、核心工艺和共性问题开展协同创新，共建重点实验室、工程研究中心、技术创新中心、产业创新中心、企业技术中心等创新平台。严格落实《安徽省人民政府关于印发支持科技创新若干政策的通知》（皖政〔</w:t>
      </w:r>
      <w:r>
        <w:rPr>
          <w:rFonts w:hint="eastAsia" w:ascii="宋体" w:hAnsi="宋体" w:eastAsia="宋体" w:cs="宋体"/>
          <w:color w:val="333333"/>
          <w:kern w:val="0"/>
          <w:sz w:val="32"/>
          <w:szCs w:val="32"/>
        </w:rPr>
        <w:t>2017</w:t>
      </w:r>
      <w:r>
        <w:rPr>
          <w:rFonts w:hint="eastAsia" w:ascii="方正仿宋_GBK" w:hAnsi="宋体" w:eastAsia="方正仿宋_GBK" w:cs="宋体"/>
          <w:color w:val="333333"/>
          <w:kern w:val="0"/>
          <w:sz w:val="32"/>
          <w:szCs w:val="32"/>
        </w:rPr>
        <w:t>〕</w:t>
      </w:r>
      <w:r>
        <w:rPr>
          <w:rFonts w:hint="eastAsia" w:ascii="宋体" w:hAnsi="宋体" w:eastAsia="宋体" w:cs="宋体"/>
          <w:color w:val="333333"/>
          <w:kern w:val="0"/>
          <w:sz w:val="32"/>
          <w:szCs w:val="32"/>
        </w:rPr>
        <w:t>52</w:t>
      </w:r>
      <w:r>
        <w:rPr>
          <w:rFonts w:hint="eastAsia" w:ascii="方正仿宋_GBK" w:hAnsi="宋体" w:eastAsia="方正仿宋_GBK" w:cs="宋体"/>
          <w:color w:val="333333"/>
          <w:kern w:val="0"/>
          <w:sz w:val="32"/>
          <w:szCs w:val="32"/>
        </w:rPr>
        <w:t>号）要求，对协同创新和成果转化的相关企业和高等学校给予奖补。引导高等学校将企业生产一线实际需求作为工程技术研究选题的重要来源。将成果转化作为高等学校科研项目和人才评价重要内容。支持设立省科技成果转化引导基金，带动社会资本，促进高等学校创新成果和核心技术产业化。</w:t>
      </w:r>
      <w:r>
        <w:rPr>
          <w:rFonts w:hint="eastAsia" w:ascii="宋体" w:hAnsi="宋体" w:eastAsia="宋体" w:cs="宋体"/>
          <w:color w:val="333333"/>
          <w:kern w:val="0"/>
          <w:sz w:val="24"/>
          <w:szCs w:val="24"/>
        </w:rPr>
        <w:t xml:space="preserve"> </w:t>
      </w:r>
    </w:p>
    <w:p>
      <w:pPr>
        <w:pStyle w:val="3"/>
      </w:pPr>
      <w:bookmarkStart w:id="13" w:name="_Toc8822000"/>
      <w:r>
        <w:rPr>
          <w:rFonts w:hint="eastAsia"/>
        </w:rPr>
        <w:t>（十一）强化企业职工在岗教育培训</w:t>
      </w:r>
      <w:bookmarkEnd w:id="13"/>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落实企业职工培训制度，足额提取教育培训经费，确保教育培训经费</w:t>
      </w:r>
      <w:r>
        <w:rPr>
          <w:rFonts w:hint="eastAsia" w:ascii="宋体" w:hAnsi="宋体" w:eastAsia="宋体" w:cs="宋体"/>
          <w:color w:val="333333"/>
          <w:kern w:val="0"/>
          <w:sz w:val="32"/>
          <w:szCs w:val="32"/>
        </w:rPr>
        <w:t>60%</w:t>
      </w:r>
      <w:r>
        <w:rPr>
          <w:rFonts w:hint="eastAsia" w:ascii="方正仿宋_GBK" w:hAnsi="宋体" w:eastAsia="方正仿宋_GBK" w:cs="宋体"/>
          <w:color w:val="333333"/>
          <w:kern w:val="0"/>
          <w:sz w:val="32"/>
          <w:szCs w:val="32"/>
        </w:rPr>
        <w:t>以上用于一线职工。鼓励企业向学校和培训机构购买服务。支持企业开展职工技能竞赛。对参加培训提升技能等级的职工给予奖补。支持企业一线骨干技术人员技能提升，加强产能严重过剩行业转岗就业人员再就业培训。将不按规定提取使用教育培训经费并拒不改正的行为记入企业信用记录，并纳入省公共信用信息共享服务平台。</w:t>
      </w:r>
      <w:r>
        <w:rPr>
          <w:rFonts w:hint="eastAsia" w:ascii="宋体" w:hAnsi="宋体" w:eastAsia="宋体" w:cs="宋体"/>
          <w:color w:val="333333"/>
          <w:kern w:val="0"/>
          <w:sz w:val="24"/>
          <w:szCs w:val="24"/>
        </w:rPr>
        <w:t xml:space="preserve"> </w:t>
      </w:r>
    </w:p>
    <w:p>
      <w:pPr>
        <w:pStyle w:val="2"/>
        <w:rPr>
          <w:rFonts w:ascii="宋体" w:eastAsia="宋体"/>
          <w:sz w:val="24"/>
          <w:szCs w:val="24"/>
        </w:rPr>
      </w:pPr>
      <w:bookmarkStart w:id="14" w:name="_Toc8822001"/>
      <w:r>
        <w:rPr>
          <w:rFonts w:hint="eastAsia"/>
        </w:rPr>
        <w:t>四、加强产教融合人才培育</w:t>
      </w:r>
      <w:bookmarkEnd w:id="14"/>
      <w:r>
        <w:rPr>
          <w:rFonts w:hint="eastAsia" w:ascii="宋体" w:eastAsia="宋体"/>
          <w:sz w:val="24"/>
          <w:szCs w:val="24"/>
        </w:rPr>
        <w:t xml:space="preserve"> </w:t>
      </w:r>
    </w:p>
    <w:p>
      <w:pPr>
        <w:pStyle w:val="3"/>
      </w:pPr>
      <w:bookmarkStart w:id="15" w:name="_Toc8822002"/>
      <w:r>
        <w:rPr>
          <w:rFonts w:hint="eastAsia"/>
        </w:rPr>
        <w:t>（十二）将劳动实践融入基础教育</w:t>
      </w:r>
      <w:bookmarkEnd w:id="15"/>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将动手实践内容纳入中小学相关课程和学生综合素质评价。加强学校劳动教育，开足开好国家规定的综合实践活动课程、通用技术课程。依托青少年校外活动场所特别是市级示范性综合实践基地，开展生产实践体验等活动。组织开展“江淮杰出工匠进校园”“企业技能大师进校园”等活动，支持学校聘请劳动模范和高技术技能人才兼职授课。鼓励有条件的普通中学开设职业类选修课程，支持职业学校和公共实训基地的实习车间、实训工厂向中小学生开放。</w:t>
      </w:r>
      <w:r>
        <w:rPr>
          <w:rFonts w:hint="eastAsia" w:ascii="宋体" w:hAnsi="宋体" w:eastAsia="宋体" w:cs="宋体"/>
          <w:color w:val="333333"/>
          <w:kern w:val="0"/>
          <w:sz w:val="24"/>
          <w:szCs w:val="24"/>
        </w:rPr>
        <w:t xml:space="preserve"> </w:t>
      </w:r>
    </w:p>
    <w:p>
      <w:pPr>
        <w:pStyle w:val="3"/>
      </w:pPr>
      <w:bookmarkStart w:id="16" w:name="_Toc8822003"/>
      <w:r>
        <w:rPr>
          <w:rFonts w:hint="eastAsia"/>
        </w:rPr>
        <w:t>（十三）推进校企协同育人</w:t>
      </w:r>
      <w:bookmarkEnd w:id="16"/>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深化全日制职业学校办学体制改革，健全职业学校内部教育质量保证体系，推行以“招工即招生、入厂即入校、校企双师联合培养”为主要内容的现代新型学徒制。大力发展校企双制、工学一体的技工教育。大力支持安徽省应用型本科高校联盟等应用型本科和行业特色类高校联盟建设，强化产业需求导向，完善以应用型人才为主的培养体系。推进专业学位研究生产学结合培养模式改革，增强复合型人才培养能力。</w:t>
      </w:r>
      <w:r>
        <w:rPr>
          <w:rFonts w:hint="eastAsia" w:ascii="宋体" w:hAnsi="宋体" w:eastAsia="宋体" w:cs="宋体"/>
          <w:color w:val="333333"/>
          <w:kern w:val="0"/>
          <w:sz w:val="24"/>
          <w:szCs w:val="24"/>
        </w:rPr>
        <w:t xml:space="preserve"> </w:t>
      </w:r>
    </w:p>
    <w:p>
      <w:pPr>
        <w:pStyle w:val="3"/>
      </w:pPr>
      <w:bookmarkStart w:id="17" w:name="_Toc8822004"/>
      <w:r>
        <w:rPr>
          <w:rFonts w:hint="eastAsia"/>
        </w:rPr>
        <w:t>（十四）强化师资队伍建设</w:t>
      </w:r>
      <w:bookmarkEnd w:id="17"/>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在有条件的职业学校、应用型本科高校探索实施产业教师（导师）特设岗位计划，鼓励职业学校和高等学校设立流动岗位吸引企业技术人员从事教学科研工作，面向企业聘用高层次专业人员、能工巧匠到学校任教。开辟公办职业学校重点专业“一体化”教师引进绿色通道。提升全省高等学校“双师双能型”教师占专业课和实习指导教师的比例。允许职业学校和高等学校依法依规自主聘请兼职教师和确定兼职报酬。建立完善校企共建教师企业实践流动岗（工作站）机制、职业学校教师实践假期制度，支持在职教师定期到企业实践锻炼。</w:t>
      </w:r>
      <w:r>
        <w:rPr>
          <w:rFonts w:hint="eastAsia" w:ascii="宋体" w:hAnsi="宋体" w:eastAsia="宋体" w:cs="宋体"/>
          <w:color w:val="333333"/>
          <w:kern w:val="0"/>
          <w:sz w:val="24"/>
          <w:szCs w:val="24"/>
        </w:rPr>
        <w:t xml:space="preserve"> </w:t>
      </w:r>
    </w:p>
    <w:p>
      <w:pPr>
        <w:pStyle w:val="3"/>
      </w:pPr>
      <w:bookmarkStart w:id="18" w:name="_Toc8822005"/>
      <w:r>
        <w:rPr>
          <w:rFonts w:hint="eastAsia"/>
        </w:rPr>
        <w:t>（十五）完善考试招生制度</w:t>
      </w:r>
      <w:bookmarkEnd w:id="18"/>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加快高等职业学校分类招考，完善“文化素质</w:t>
      </w:r>
      <w:r>
        <w:rPr>
          <w:rFonts w:hint="eastAsia" w:ascii="宋体" w:hAnsi="宋体" w:eastAsia="宋体" w:cs="宋体"/>
          <w:color w:val="333333"/>
          <w:kern w:val="0"/>
          <w:sz w:val="32"/>
          <w:szCs w:val="32"/>
        </w:rPr>
        <w:t>+</w:t>
      </w:r>
      <w:r>
        <w:rPr>
          <w:rFonts w:hint="eastAsia" w:ascii="方正仿宋_GBK" w:hAnsi="宋体" w:eastAsia="方正仿宋_GBK" w:cs="宋体"/>
          <w:color w:val="333333"/>
          <w:kern w:val="0"/>
          <w:sz w:val="32"/>
          <w:szCs w:val="32"/>
        </w:rPr>
        <w:t>职业技能”评价方式。健全“五年一贯制”、专升本等培养模式，适度提高高等学校招收职业教育毕业生比例，建立复合型、创新型技术技能人才系统培养制度。大力推行订单式培养培训，支持引导企业参与职业学校招生计划的研究制定。认真落实专业学位研究生入学考试制度改革要求，提高有工作实践经历人员的招收比例。</w:t>
      </w:r>
      <w:r>
        <w:rPr>
          <w:rFonts w:hint="eastAsia" w:ascii="宋体" w:hAnsi="宋体" w:eastAsia="宋体" w:cs="宋体"/>
          <w:color w:val="333333"/>
          <w:kern w:val="0"/>
          <w:sz w:val="24"/>
          <w:szCs w:val="24"/>
        </w:rPr>
        <w:t xml:space="preserve"> </w:t>
      </w:r>
    </w:p>
    <w:p>
      <w:pPr>
        <w:pStyle w:val="3"/>
      </w:pPr>
      <w:bookmarkStart w:id="19" w:name="_Toc8822006"/>
      <w:r>
        <w:rPr>
          <w:rFonts w:hint="eastAsia"/>
        </w:rPr>
        <w:t>（十六）改革学校治理结构</w:t>
      </w:r>
      <w:bookmarkEnd w:id="19"/>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建立健全职业学校和高等学校理事会制度，鼓励引入行业企业、科研院所、社会组织等多方参与。推动学校优化内部治理，扩大一线教学科研机构在专业设置、人事管理、教师评聘、收入分配等方面办学自主权，积极发展跨学科、跨专业教学和科研组织。</w:t>
      </w:r>
      <w:r>
        <w:rPr>
          <w:rFonts w:hint="eastAsia" w:ascii="宋体" w:hAnsi="宋体" w:eastAsia="宋体" w:cs="宋体"/>
          <w:color w:val="333333"/>
          <w:kern w:val="0"/>
          <w:sz w:val="24"/>
          <w:szCs w:val="24"/>
        </w:rPr>
        <w:t xml:space="preserve"> </w:t>
      </w:r>
    </w:p>
    <w:p>
      <w:pPr>
        <w:pStyle w:val="3"/>
      </w:pPr>
      <w:bookmarkStart w:id="20" w:name="_Toc8822007"/>
      <w:r>
        <w:rPr>
          <w:rFonts w:hint="eastAsia"/>
        </w:rPr>
        <w:t>（十七）创新教育培训服务供给</w:t>
      </w:r>
      <w:bookmarkEnd w:id="20"/>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发挥职业学校和高等学校资源优势，面向一线劳动者，广泛开展以提升职业能力为重点的各类培训。打造终身职业技能培训平台，推动安徽职业培训网络大学建设，推行“互联网</w:t>
      </w:r>
      <w:r>
        <w:rPr>
          <w:rFonts w:hint="eastAsia" w:ascii="宋体" w:hAnsi="宋体" w:eastAsia="宋体" w:cs="宋体"/>
          <w:color w:val="333333"/>
          <w:kern w:val="0"/>
          <w:sz w:val="32"/>
          <w:szCs w:val="32"/>
        </w:rPr>
        <w:t>+</w:t>
      </w:r>
      <w:r>
        <w:rPr>
          <w:rFonts w:hint="eastAsia" w:ascii="方正仿宋_GBK" w:hAnsi="宋体" w:eastAsia="方正仿宋_GBK" w:cs="宋体"/>
          <w:color w:val="333333"/>
          <w:kern w:val="0"/>
          <w:sz w:val="32"/>
          <w:szCs w:val="32"/>
        </w:rPr>
        <w:t>培训”。支持有条件的社会组织整合校企资源，开发立体化、可选择的产业技术课程和职业培训包。推动探索高等学校和行业企业课程学分转换互认，允许和鼓励高等学校向行业企业和社会培训机构购买创新创业、前沿技术课程和教学服务。</w:t>
      </w:r>
      <w:r>
        <w:rPr>
          <w:rFonts w:hint="eastAsia" w:ascii="宋体" w:hAnsi="宋体" w:eastAsia="宋体" w:cs="宋体"/>
          <w:color w:val="333333"/>
          <w:kern w:val="0"/>
          <w:sz w:val="24"/>
          <w:szCs w:val="24"/>
        </w:rPr>
        <w:t xml:space="preserve"> </w:t>
      </w:r>
    </w:p>
    <w:p>
      <w:pPr>
        <w:pStyle w:val="2"/>
        <w:rPr>
          <w:rFonts w:ascii="宋体" w:eastAsia="宋体"/>
          <w:sz w:val="24"/>
          <w:szCs w:val="24"/>
        </w:rPr>
      </w:pPr>
      <w:bookmarkStart w:id="21" w:name="_Toc8822008"/>
      <w:r>
        <w:rPr>
          <w:rFonts w:hint="eastAsia"/>
        </w:rPr>
        <w:t>五、促进产教供需双向对接</w:t>
      </w:r>
      <w:bookmarkEnd w:id="21"/>
      <w:r>
        <w:rPr>
          <w:rFonts w:hint="eastAsia" w:ascii="宋体" w:eastAsia="宋体"/>
          <w:sz w:val="24"/>
          <w:szCs w:val="24"/>
        </w:rPr>
        <w:t xml:space="preserve"> </w:t>
      </w:r>
    </w:p>
    <w:p>
      <w:pPr>
        <w:pStyle w:val="3"/>
      </w:pPr>
      <w:bookmarkStart w:id="22" w:name="_Toc8822009"/>
      <w:r>
        <w:rPr>
          <w:rFonts w:hint="eastAsia"/>
        </w:rPr>
        <w:t>（十八）强化行业协调指导</w:t>
      </w:r>
      <w:bookmarkEnd w:id="22"/>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依托行业主管部门，建立健全高等教育、职业教育省级行业指导委员会及其运行机制，推进本行业产教融合。支持行业组织参与校企合作、教育教学、质量评价和制定行业专业人才培养标准，指导校企一体化育人。建立行业人力资源需求预测和就业状况定期发布制度。</w:t>
      </w:r>
      <w:r>
        <w:rPr>
          <w:rFonts w:hint="eastAsia" w:ascii="宋体" w:hAnsi="宋体" w:eastAsia="宋体" w:cs="宋体"/>
          <w:color w:val="333333"/>
          <w:kern w:val="0"/>
          <w:sz w:val="24"/>
          <w:szCs w:val="24"/>
        </w:rPr>
        <w:t xml:space="preserve"> </w:t>
      </w:r>
    </w:p>
    <w:p>
      <w:pPr>
        <w:pStyle w:val="3"/>
      </w:pPr>
      <w:bookmarkStart w:id="23" w:name="_Toc8822010"/>
      <w:r>
        <w:rPr>
          <w:rFonts w:hint="eastAsia"/>
        </w:rPr>
        <w:t>（十九）优化市场中介服务</w:t>
      </w:r>
      <w:bookmarkEnd w:id="23"/>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鼓励地方政府、行业企业、学校通过购买服务、合作设立等方式，培育市场导向、对接供需、精准服务、规范运作的产教融合服务组织（企业），提供专业化服务，形成稳定互惠的合作机制。</w:t>
      </w:r>
      <w:r>
        <w:rPr>
          <w:rFonts w:hint="eastAsia" w:ascii="宋体" w:hAnsi="宋体" w:eastAsia="宋体" w:cs="宋体"/>
          <w:color w:val="333333"/>
          <w:kern w:val="0"/>
          <w:sz w:val="24"/>
          <w:szCs w:val="24"/>
        </w:rPr>
        <w:t xml:space="preserve"> </w:t>
      </w:r>
    </w:p>
    <w:p>
      <w:pPr>
        <w:pStyle w:val="3"/>
      </w:pPr>
      <w:bookmarkStart w:id="24" w:name="_Toc8822011"/>
      <w:r>
        <w:rPr>
          <w:rFonts w:hint="eastAsia"/>
        </w:rPr>
        <w:t>（二十）打造共享信息平台</w:t>
      </w:r>
      <w:bookmarkEnd w:id="24"/>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运用云计算、大数据等信息技术，建设政府、行业企业与职业教育机构共享的产教融合信息平台，提供精准化产教融合信息发布、检索、推荐和相关增值服务。强化职业学校、高等学校数字化教学资源库和企业实践库建设，推进校企资源跨部门、跨区域、跨行业共建共享。</w:t>
      </w:r>
      <w:r>
        <w:rPr>
          <w:rFonts w:hint="eastAsia" w:ascii="宋体" w:hAnsi="宋体" w:eastAsia="宋体" w:cs="宋体"/>
          <w:color w:val="333333"/>
          <w:kern w:val="0"/>
          <w:sz w:val="24"/>
          <w:szCs w:val="24"/>
        </w:rPr>
        <w:t xml:space="preserve"> </w:t>
      </w:r>
    </w:p>
    <w:p>
      <w:pPr>
        <w:pStyle w:val="2"/>
        <w:rPr>
          <w:rFonts w:ascii="宋体" w:eastAsia="宋体"/>
          <w:sz w:val="24"/>
          <w:szCs w:val="24"/>
        </w:rPr>
      </w:pPr>
      <w:bookmarkStart w:id="25" w:name="_Toc8822012"/>
      <w:r>
        <w:rPr>
          <w:rFonts w:hint="eastAsia"/>
        </w:rPr>
        <w:t>六、强化产教融合支撑保障</w:t>
      </w:r>
      <w:bookmarkEnd w:id="25"/>
      <w:r>
        <w:rPr>
          <w:rFonts w:hint="eastAsia" w:ascii="宋体" w:eastAsia="宋体"/>
          <w:sz w:val="24"/>
          <w:szCs w:val="24"/>
        </w:rPr>
        <w:t xml:space="preserve"> </w:t>
      </w:r>
    </w:p>
    <w:p>
      <w:pPr>
        <w:pStyle w:val="3"/>
      </w:pPr>
      <w:bookmarkStart w:id="26" w:name="_Toc8822013"/>
      <w:r>
        <w:rPr>
          <w:rFonts w:hint="eastAsia"/>
        </w:rPr>
        <w:t>（二十一）实施产教融合发展工程</w:t>
      </w:r>
      <w:bookmarkEnd w:id="26"/>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“十三五”期间，组织实施好纳入国家产教融合发展工程的项目。支持</w:t>
      </w:r>
      <w:r>
        <w:rPr>
          <w:rFonts w:hint="eastAsia" w:ascii="宋体" w:hAnsi="宋体" w:eastAsia="宋体" w:cs="宋体"/>
          <w:color w:val="333333"/>
          <w:kern w:val="0"/>
          <w:sz w:val="32"/>
          <w:szCs w:val="32"/>
        </w:rPr>
        <w:t>50</w:t>
      </w:r>
      <w:r>
        <w:rPr>
          <w:rFonts w:hint="eastAsia" w:ascii="方正仿宋_GBK" w:hAnsi="宋体" w:eastAsia="方正仿宋_GBK" w:cs="宋体"/>
          <w:color w:val="333333"/>
          <w:kern w:val="0"/>
          <w:sz w:val="32"/>
          <w:szCs w:val="32"/>
        </w:rPr>
        <w:t>所中高等职业学校加强校企合作，共建共享技术技能实训设施。支持</w:t>
      </w:r>
      <w:r>
        <w:rPr>
          <w:rFonts w:hint="eastAsia" w:ascii="宋体" w:hAnsi="宋体" w:eastAsia="宋体" w:cs="宋体"/>
          <w:color w:val="333333"/>
          <w:kern w:val="0"/>
          <w:sz w:val="32"/>
          <w:szCs w:val="32"/>
        </w:rPr>
        <w:t>4</w:t>
      </w:r>
      <w:r>
        <w:rPr>
          <w:rFonts w:hint="eastAsia" w:ascii="方正仿宋_GBK" w:hAnsi="宋体" w:eastAsia="方正仿宋_GBK" w:cs="宋体"/>
          <w:color w:val="333333"/>
          <w:kern w:val="0"/>
          <w:sz w:val="32"/>
          <w:szCs w:val="32"/>
        </w:rPr>
        <w:t>所应用型本科高校加强产教融合实训环境、平台和载体建设。支持</w:t>
      </w:r>
      <w:r>
        <w:rPr>
          <w:rFonts w:hint="eastAsia" w:ascii="宋体" w:hAnsi="宋体" w:eastAsia="宋体" w:cs="宋体"/>
          <w:color w:val="333333"/>
          <w:kern w:val="0"/>
          <w:sz w:val="32"/>
          <w:szCs w:val="32"/>
        </w:rPr>
        <w:t>6</w:t>
      </w:r>
      <w:r>
        <w:rPr>
          <w:rFonts w:hint="eastAsia" w:ascii="方正仿宋_GBK" w:hAnsi="宋体" w:eastAsia="方正仿宋_GBK" w:cs="宋体"/>
          <w:color w:val="333333"/>
          <w:kern w:val="0"/>
          <w:sz w:val="32"/>
          <w:szCs w:val="32"/>
        </w:rPr>
        <w:t>所本科高校面向产业需求，强化实践教学环节建设。支持“双一流”建设高校加强学科、人才、科研与产业互动，推进合作育人、协同创新和成果转化。</w:t>
      </w:r>
      <w:r>
        <w:rPr>
          <w:rFonts w:hint="eastAsia" w:ascii="宋体" w:hAnsi="宋体" w:eastAsia="宋体" w:cs="宋体"/>
          <w:color w:val="333333"/>
          <w:kern w:val="0"/>
          <w:sz w:val="24"/>
          <w:szCs w:val="24"/>
        </w:rPr>
        <w:t xml:space="preserve"> </w:t>
      </w:r>
    </w:p>
    <w:p>
      <w:pPr>
        <w:pStyle w:val="3"/>
      </w:pPr>
      <w:bookmarkStart w:id="27" w:name="_Toc8822014"/>
      <w:r>
        <w:rPr>
          <w:rFonts w:hint="eastAsia"/>
        </w:rPr>
        <w:t>（二十二）开展试点示范</w:t>
      </w:r>
      <w:bookmarkEnd w:id="27"/>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根据全省产业升级导向和创新发展战略，支持若干有较强代表性的行业、企业开展产教融合先行先试，谋划和推进一批产教融合试点项目。支持若干产业基础好、创新活力强、职教资源丰富的市，创建产教融合示范城市。</w:t>
      </w:r>
      <w:r>
        <w:rPr>
          <w:rFonts w:hint="eastAsia" w:ascii="宋体" w:hAnsi="宋体" w:eastAsia="宋体" w:cs="宋体"/>
          <w:color w:val="333333"/>
          <w:kern w:val="0"/>
          <w:sz w:val="24"/>
          <w:szCs w:val="24"/>
        </w:rPr>
        <w:t xml:space="preserve"> </w:t>
      </w:r>
    </w:p>
    <w:p>
      <w:pPr>
        <w:pStyle w:val="3"/>
      </w:pPr>
      <w:bookmarkStart w:id="28" w:name="_Toc8822015"/>
      <w:r>
        <w:rPr>
          <w:rFonts w:hint="eastAsia"/>
        </w:rPr>
        <w:t>（二十三）加大政策扶持力度</w:t>
      </w:r>
      <w:bookmarkEnd w:id="28"/>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鼓励校企联合建立技术研发团队申报科技创新类项目，职业学校、高等学校科研人员依法取得的科技成果转化奖励收入不纳入绩效工资和单位工资总额基数。推动各级财税部门把深化产教融合作为落实结构性减税政策的重要举措。对企业投资或与政府合作建设职业学校、高等学校的建设用地，符合《划拨用地目录》的，可通过划拨方式供地。加大对产教融合项目的信贷支持力度，开发相关金融产品。积极争取国际金融组织贷款、外国政府贷款等支持符合条件的产教融合项目。加快发展学生实习责任保险和人身意外伤害保险，鼓励保险公司对现代学徒制、企业新型学徒制保险专门确定费率。</w:t>
      </w:r>
      <w:r>
        <w:rPr>
          <w:rFonts w:hint="eastAsia" w:ascii="宋体" w:hAnsi="宋体" w:eastAsia="宋体" w:cs="宋体"/>
          <w:color w:val="333333"/>
          <w:kern w:val="0"/>
          <w:sz w:val="24"/>
          <w:szCs w:val="24"/>
        </w:rPr>
        <w:t xml:space="preserve"> </w:t>
      </w:r>
    </w:p>
    <w:p>
      <w:pPr>
        <w:pStyle w:val="3"/>
      </w:pPr>
      <w:bookmarkStart w:id="29" w:name="_Toc8822016"/>
      <w:r>
        <w:rPr>
          <w:rFonts w:hint="eastAsia"/>
        </w:rPr>
        <w:t>（二十四）加强省际和国际交流合作</w:t>
      </w:r>
      <w:bookmarkEnd w:id="29"/>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加强与外省市职业教育合作，共享区域职业教育资源，共建高端合作项目。鼓励高等学校、职业学校积极参与国家“一带一路”建设和国际产能合作。积极推进合肥学院中德教育合作示范基地建设。鼓励高等学校、职业学校引进海外高层次人才和优质教育资源，开发符合国情、省情的校企合作和协同创新模式。设立“留学安徽”奖学金，鼓励省内高等学校招收国际学生。</w:t>
      </w:r>
      <w:r>
        <w:rPr>
          <w:rFonts w:hint="eastAsia" w:ascii="宋体" w:hAnsi="宋体" w:eastAsia="宋体" w:cs="宋体"/>
          <w:color w:val="333333"/>
          <w:kern w:val="0"/>
          <w:sz w:val="24"/>
          <w:szCs w:val="24"/>
        </w:rPr>
        <w:t xml:space="preserve"> </w:t>
      </w:r>
    </w:p>
    <w:p>
      <w:pPr>
        <w:pStyle w:val="3"/>
      </w:pPr>
      <w:bookmarkStart w:id="30" w:name="_Toc8822017"/>
      <w:r>
        <w:rPr>
          <w:rFonts w:hint="eastAsia"/>
        </w:rPr>
        <w:t>（二十五）强化工作协调</w:t>
      </w:r>
      <w:bookmarkEnd w:id="30"/>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推动建立省发展改革、教育、人力资源社会保障、财政、科技、国土资源、经济和信息化等部门密切配合，有关行业主管部门、金融监管机构、国有资产监督管理部门积极参与的工作协调机制，明确责任分工，做好统筹协调，加强监督检查，推进工作落实。各市人民政府要结合本地实际制定具体实施方案。</w:t>
      </w:r>
      <w:r>
        <w:rPr>
          <w:rFonts w:hint="eastAsia" w:ascii="宋体" w:hAnsi="宋体" w:eastAsia="宋体" w:cs="宋体"/>
          <w:color w:val="333333"/>
          <w:kern w:val="0"/>
          <w:sz w:val="24"/>
          <w:szCs w:val="24"/>
        </w:rPr>
        <w:t xml:space="preserve"> </w:t>
      </w:r>
    </w:p>
    <w:p>
      <w:pPr>
        <w:pStyle w:val="3"/>
      </w:pPr>
      <w:bookmarkStart w:id="31" w:name="_Toc8822018"/>
      <w:r>
        <w:rPr>
          <w:rFonts w:hint="eastAsia"/>
        </w:rPr>
        <w:t>（二十六）营造良好氛围</w:t>
      </w:r>
      <w:bookmarkEnd w:id="31"/>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加大宣传力度，对在产教融合方面作出突出贡献的集体和个人给予通报表扬，努力营造全社会积极支持、主动参与产教融合的良好氛围。积极学习借鉴国内外推动产教融合的先进经验，因地制宜推动形成一批典型案例，发挥示范引导效应。</w:t>
      </w:r>
      <w:r>
        <w:rPr>
          <w:rFonts w:hint="eastAsia" w:ascii="宋体" w:hAnsi="宋体" w:eastAsia="宋体" w:cs="宋体"/>
          <w:color w:val="333333"/>
          <w:kern w:val="0"/>
          <w:sz w:val="24"/>
          <w:szCs w:val="24"/>
        </w:rPr>
        <w:t xml:space="preserve"> </w:t>
      </w:r>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附件：重点任务分工</w:t>
      </w:r>
      <w:r>
        <w:rPr>
          <w:rFonts w:hint="eastAsia" w:ascii="宋体" w:hAnsi="宋体" w:eastAsia="宋体" w:cs="宋体"/>
          <w:color w:val="333333"/>
          <w:kern w:val="0"/>
          <w:sz w:val="24"/>
          <w:szCs w:val="24"/>
        </w:rPr>
        <w:t xml:space="preserve"> </w:t>
      </w:r>
    </w:p>
    <w:p>
      <w:pPr>
        <w:widowControl/>
        <w:shd w:val="clear" w:color="auto" w:fill="F7F7F7"/>
        <w:spacing w:before="100" w:beforeAutospacing="1" w:after="100" w:afterAutospacing="1"/>
        <w:jc w:val="right"/>
        <w:rPr>
          <w:rFonts w:ascii="宋体" w:hAnsi="宋体" w:eastAsia="宋体" w:cs="宋体"/>
          <w:color w:val="333333"/>
          <w:kern w:val="0"/>
          <w:sz w:val="24"/>
          <w:szCs w:val="24"/>
        </w:rPr>
      </w:pPr>
      <w:r>
        <w:rPr>
          <w:rFonts w:hint="eastAsia" w:ascii="宋体" w:hAnsi="宋体" w:eastAsia="宋体" w:cs="宋体"/>
          <w:color w:val="333333"/>
          <w:kern w:val="0"/>
          <w:sz w:val="32"/>
          <w:szCs w:val="32"/>
        </w:rPr>
        <w:t>                     </w:t>
      </w:r>
      <w:r>
        <w:rPr>
          <w:rFonts w:hint="eastAsia" w:ascii="方正仿宋_GBK" w:hAnsi="宋体" w:eastAsia="方正仿宋_GBK" w:cs="宋体"/>
          <w:color w:val="333333"/>
          <w:kern w:val="0"/>
          <w:sz w:val="32"/>
          <w:szCs w:val="32"/>
        </w:rPr>
        <w:t>安徽省人民政府办公厅</w:t>
      </w:r>
      <w:r>
        <w:rPr>
          <w:rFonts w:hint="eastAsia" w:ascii="宋体" w:hAnsi="宋体" w:eastAsia="宋体" w:cs="宋体"/>
          <w:color w:val="333333"/>
          <w:kern w:val="0"/>
          <w:sz w:val="24"/>
          <w:szCs w:val="24"/>
        </w:rPr>
        <w:t xml:space="preserve"> </w:t>
      </w:r>
    </w:p>
    <w:p>
      <w:pPr>
        <w:widowControl/>
        <w:shd w:val="clear" w:color="auto" w:fill="F7F7F7"/>
        <w:spacing w:before="100" w:beforeAutospacing="1" w:after="100" w:afterAutospacing="1"/>
        <w:jc w:val="right"/>
        <w:rPr>
          <w:rFonts w:ascii="宋体" w:hAnsi="宋体" w:eastAsia="宋体" w:cs="宋体"/>
          <w:color w:val="333333"/>
          <w:kern w:val="0"/>
          <w:sz w:val="24"/>
          <w:szCs w:val="24"/>
        </w:rPr>
      </w:pPr>
      <w:r>
        <w:rPr>
          <w:rFonts w:hint="eastAsia" w:ascii="宋体" w:hAnsi="宋体" w:eastAsia="宋体" w:cs="宋体"/>
          <w:color w:val="333333"/>
          <w:kern w:val="0"/>
          <w:sz w:val="32"/>
          <w:szCs w:val="32"/>
        </w:rPr>
        <w:t>                    2018</w:t>
      </w:r>
      <w:r>
        <w:rPr>
          <w:rFonts w:hint="eastAsia" w:ascii="方正仿宋_GBK" w:hAnsi="宋体" w:eastAsia="方正仿宋_GBK" w:cs="宋体"/>
          <w:color w:val="333333"/>
          <w:kern w:val="0"/>
          <w:sz w:val="32"/>
          <w:szCs w:val="32"/>
        </w:rPr>
        <w:t>年</w:t>
      </w:r>
      <w:r>
        <w:rPr>
          <w:rFonts w:hint="eastAsia" w:ascii="宋体" w:hAnsi="宋体" w:eastAsia="宋体" w:cs="宋体"/>
          <w:color w:val="333333"/>
          <w:kern w:val="0"/>
          <w:sz w:val="32"/>
          <w:szCs w:val="32"/>
        </w:rPr>
        <w:t>2</w:t>
      </w:r>
      <w:r>
        <w:rPr>
          <w:rFonts w:hint="eastAsia" w:ascii="方正仿宋_GBK" w:hAnsi="宋体" w:eastAsia="方正仿宋_GBK" w:cs="宋体"/>
          <w:color w:val="333333"/>
          <w:kern w:val="0"/>
          <w:sz w:val="32"/>
          <w:szCs w:val="32"/>
        </w:rPr>
        <w:t>月</w:t>
      </w:r>
      <w:r>
        <w:rPr>
          <w:rFonts w:hint="eastAsia" w:ascii="宋体" w:hAnsi="宋体" w:eastAsia="宋体" w:cs="宋体"/>
          <w:color w:val="333333"/>
          <w:kern w:val="0"/>
          <w:sz w:val="32"/>
          <w:szCs w:val="32"/>
        </w:rPr>
        <w:t>22</w:t>
      </w:r>
      <w:r>
        <w:rPr>
          <w:rFonts w:hint="eastAsia" w:ascii="方正仿宋_GBK" w:hAnsi="宋体" w:eastAsia="方正仿宋_GBK" w:cs="宋体"/>
          <w:color w:val="333333"/>
          <w:kern w:val="0"/>
          <w:sz w:val="32"/>
          <w:szCs w:val="32"/>
        </w:rPr>
        <w:t>日</w:t>
      </w:r>
      <w:r>
        <w:rPr>
          <w:rFonts w:hint="eastAsia" w:ascii="宋体" w:hAnsi="宋体" w:eastAsia="宋体" w:cs="宋体"/>
          <w:color w:val="333333"/>
          <w:kern w:val="0"/>
          <w:sz w:val="24"/>
          <w:szCs w:val="24"/>
        </w:rPr>
        <w:t xml:space="preserve"> </w:t>
      </w:r>
    </w:p>
    <w:p>
      <w:pPr>
        <w:widowControl/>
        <w:shd w:val="clear" w:color="auto" w:fill="F7F7F7"/>
        <w:spacing w:before="100" w:beforeAutospacing="1" w:after="100" w:afterAutospacing="1"/>
        <w:ind w:firstLine="640"/>
        <w:jc w:val="left"/>
        <w:rPr>
          <w:rFonts w:ascii="宋体" w:hAnsi="宋体" w:eastAsia="宋体" w:cs="宋体"/>
          <w:color w:val="333333"/>
          <w:kern w:val="0"/>
          <w:sz w:val="24"/>
          <w:szCs w:val="24"/>
        </w:rPr>
      </w:pPr>
      <w:r>
        <w:rPr>
          <w:rFonts w:hint="eastAsia" w:ascii="方正仿宋_GBK" w:hAnsi="宋体" w:eastAsia="方正仿宋_GBK" w:cs="宋体"/>
          <w:color w:val="333333"/>
          <w:kern w:val="0"/>
          <w:sz w:val="32"/>
          <w:szCs w:val="32"/>
        </w:rPr>
        <w:t>（此件公开发布）</w:t>
      </w:r>
      <w:r>
        <w:rPr>
          <w:rFonts w:hint="eastAsia" w:ascii="宋体" w:hAnsi="宋体" w:eastAsia="宋体" w:cs="宋体"/>
          <w:color w:val="333333"/>
          <w:kern w:val="0"/>
          <w:sz w:val="24"/>
          <w:szCs w:val="24"/>
        </w:rPr>
        <w:t xml:space="preserve"> </w:t>
      </w:r>
    </w:p>
    <w:p>
      <w:pPr>
        <w:widowControl/>
        <w:jc w:val="left"/>
        <w:rPr>
          <w:rFonts w:hint="eastAsia" w:ascii="ˎ̥" w:hAnsi="ˎ̥" w:eastAsia="宋体" w:cs="宋体"/>
          <w:color w:val="666666"/>
          <w:kern w:val="0"/>
          <w:sz w:val="18"/>
          <w:szCs w:val="18"/>
        </w:rPr>
      </w:pPr>
    </w:p>
    <w:p>
      <w:pPr>
        <w:widowControl/>
        <w:shd w:val="clear" w:color="auto" w:fill="F7F7F7"/>
        <w:spacing w:before="100" w:beforeAutospacing="1" w:after="100" w:afterAutospacing="1"/>
        <w:jc w:val="left"/>
        <w:rPr>
          <w:rFonts w:ascii="宋体" w:hAnsi="宋体" w:eastAsia="宋体" w:cs="宋体"/>
          <w:color w:val="333333"/>
          <w:kern w:val="0"/>
          <w:sz w:val="24"/>
          <w:szCs w:val="24"/>
        </w:rPr>
      </w:pPr>
      <w:r>
        <w:rPr>
          <w:rFonts w:hint="eastAsia" w:ascii="方正黑体_GBK" w:hAnsi="宋体" w:eastAsia="方正黑体_GBK" w:cs="宋体"/>
          <w:color w:val="333333"/>
          <w:kern w:val="0"/>
          <w:sz w:val="32"/>
          <w:szCs w:val="32"/>
        </w:rPr>
        <w:t>附件</w:t>
      </w:r>
      <w:r>
        <w:rPr>
          <w:rFonts w:hint="eastAsia" w:ascii="宋体" w:hAnsi="宋体" w:eastAsia="宋体" w:cs="宋体"/>
          <w:color w:val="333333"/>
          <w:kern w:val="0"/>
          <w:sz w:val="24"/>
          <w:szCs w:val="24"/>
        </w:rPr>
        <w:t xml:space="preserve"> </w:t>
      </w:r>
    </w:p>
    <w:p>
      <w:pPr>
        <w:widowControl/>
        <w:shd w:val="clear" w:color="auto" w:fill="F7F7F7"/>
        <w:spacing w:before="100" w:beforeAutospacing="1" w:after="100" w:afterAutospacing="1"/>
        <w:jc w:val="center"/>
        <w:rPr>
          <w:rFonts w:ascii="宋体" w:hAnsi="宋体" w:eastAsia="宋体" w:cs="宋体"/>
          <w:color w:val="333333"/>
          <w:kern w:val="0"/>
          <w:sz w:val="24"/>
          <w:szCs w:val="24"/>
        </w:rPr>
      </w:pPr>
      <w:r>
        <w:rPr>
          <w:rFonts w:hint="eastAsia" w:ascii="方正小标宋_GBK" w:hAnsi="宋体" w:eastAsia="方正小标宋_GBK" w:cs="宋体"/>
          <w:color w:val="333333"/>
          <w:kern w:val="0"/>
          <w:sz w:val="44"/>
          <w:szCs w:val="44"/>
        </w:rPr>
        <w:t>重点任务分工</w:t>
      </w:r>
      <w:r>
        <w:rPr>
          <w:rFonts w:hint="eastAsia" w:ascii="宋体" w:hAnsi="宋体" w:eastAsia="宋体" w:cs="宋体"/>
          <w:color w:val="333333"/>
          <w:kern w:val="0"/>
          <w:sz w:val="24"/>
          <w:szCs w:val="24"/>
        </w:rPr>
        <w:t xml:space="preserve"> </w:t>
      </w:r>
    </w:p>
    <w:tbl>
      <w:tblPr>
        <w:tblStyle w:val="8"/>
        <w:tblW w:w="0" w:type="auto"/>
        <w:jc w:val="center"/>
        <w:tblLayout w:type="autofit"/>
        <w:tblCellMar>
          <w:top w:w="0" w:type="dxa"/>
          <w:left w:w="0" w:type="dxa"/>
          <w:bottom w:w="0" w:type="dxa"/>
          <w:right w:w="0" w:type="dxa"/>
        </w:tblCellMar>
      </w:tblPr>
      <w:tblGrid>
        <w:gridCol w:w="698"/>
        <w:gridCol w:w="1386"/>
        <w:gridCol w:w="3890"/>
        <w:gridCol w:w="2352"/>
      </w:tblGrid>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hint="eastAsia" w:ascii="方正黑体_GBK" w:hAnsi="ˎ̥" w:eastAsia="方正黑体_GBK" w:cs="宋体"/>
                <w:color w:val="666666"/>
                <w:kern w:val="0"/>
                <w:sz w:val="24"/>
                <w:szCs w:val="24"/>
              </w:rPr>
              <w:t>序号</w:t>
            </w:r>
            <w:r>
              <w:rPr>
                <w:rFonts w:ascii="ˎ̥" w:hAnsi="ˎ̥" w:eastAsia="宋体" w:cs="宋体"/>
                <w:color w:val="666666"/>
                <w:kern w:val="0"/>
                <w:sz w:val="18"/>
                <w:szCs w:val="18"/>
              </w:rPr>
              <w:t xml:space="preserve"> </w:t>
            </w:r>
          </w:p>
        </w:tc>
        <w:tc>
          <w:tcPr>
            <w:tcW w:w="193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hint="eastAsia" w:ascii="方正黑体_GBK" w:hAnsi="ˎ̥" w:eastAsia="方正黑体_GBK" w:cs="宋体"/>
                <w:color w:val="666666"/>
                <w:kern w:val="0"/>
                <w:sz w:val="24"/>
                <w:szCs w:val="24"/>
              </w:rPr>
              <w:t>工作任务</w:t>
            </w:r>
            <w:r>
              <w:rPr>
                <w:rFonts w:ascii="ˎ̥" w:hAnsi="ˎ̥" w:eastAsia="宋体" w:cs="宋体"/>
                <w:color w:val="666666"/>
                <w:kern w:val="0"/>
                <w:sz w:val="18"/>
                <w:szCs w:val="18"/>
              </w:rPr>
              <w:t xml:space="preserve"> </w:t>
            </w: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hint="eastAsia" w:ascii="方正黑体_GBK" w:hAnsi="ˎ̥" w:eastAsia="方正黑体_GBK" w:cs="宋体"/>
                <w:color w:val="666666"/>
                <w:kern w:val="0"/>
                <w:sz w:val="24"/>
                <w:szCs w:val="24"/>
              </w:rPr>
              <w:t>主要内容</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hint="eastAsia" w:ascii="方正黑体_GBK" w:hAnsi="ˎ̥" w:eastAsia="方正黑体_GBK" w:cs="宋体"/>
                <w:color w:val="666666"/>
                <w:kern w:val="0"/>
                <w:sz w:val="24"/>
                <w:szCs w:val="24"/>
              </w:rPr>
              <w:t>责任单位</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w:t>
            </w:r>
            <w:r>
              <w:rPr>
                <w:rFonts w:ascii="ˎ̥" w:hAnsi="ˎ̥" w:eastAsia="宋体" w:cs="宋体"/>
                <w:color w:val="666666"/>
                <w:kern w:val="0"/>
                <w:sz w:val="18"/>
                <w:szCs w:val="18"/>
              </w:rPr>
              <w:t xml:space="preserve"> </w:t>
            </w:r>
          </w:p>
        </w:tc>
        <w:tc>
          <w:tcPr>
            <w:tcW w:w="1935" w:type="dxa"/>
            <w:vMerge w:val="restart"/>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构建教育和产业深度融合发展格局</w:t>
            </w:r>
            <w:r>
              <w:rPr>
                <w:rFonts w:ascii="ˎ̥" w:hAnsi="ˎ̥" w:eastAsia="宋体" w:cs="宋体"/>
                <w:color w:val="666666"/>
                <w:kern w:val="0"/>
                <w:sz w:val="18"/>
                <w:szCs w:val="18"/>
              </w:rPr>
              <w:t xml:space="preserve"> </w:t>
            </w: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将产教融合纳入经济社会发展规划以及区域发展、产业发展、城市建设和重大生产力布局规划。</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省发展改革委、省教育厅会同省有关部门，各市人民政府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2</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促进高等教育融入国家和区域创新体系。</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省教育厅、省科技厅，有关市人民政府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3</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建立紧密对接产业链、创新链和我省战略性新兴产业发展的学科专业体系。加快推进新工科建设。</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省教育厅会同省有关部门</w:t>
            </w:r>
            <w:r>
              <w:rPr>
                <w:rFonts w:ascii="ˎ̥" w:hAnsi="ˎ̥" w:eastAsia="宋体" w:cs="宋体"/>
                <w:color w:val="666666"/>
                <w:kern w:val="0"/>
                <w:sz w:val="18"/>
                <w:szCs w:val="18"/>
              </w:rPr>
              <w:t xml:space="preserve"> </w:t>
            </w:r>
          </w:p>
        </w:tc>
      </w:tr>
      <w:tr>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4</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建立人才需求预测预警机制，持续发布高等学校毕业生就业质量年度报告和专业布局与需求分析报告。完善专业准入与退出制度。</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省教育厅、省人力资源社会保障厅会同省有关部门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5</w:t>
            </w:r>
            <w:r>
              <w:rPr>
                <w:rFonts w:ascii="ˎ̥" w:hAnsi="ˎ̥" w:eastAsia="宋体" w:cs="宋体"/>
                <w:color w:val="666666"/>
                <w:kern w:val="0"/>
                <w:sz w:val="18"/>
                <w:szCs w:val="18"/>
              </w:rPr>
              <w:t xml:space="preserve"> </w:t>
            </w:r>
          </w:p>
        </w:tc>
        <w:tc>
          <w:tcPr>
            <w:tcW w:w="1935" w:type="dxa"/>
            <w:vMerge w:val="restart"/>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发挥企业产教融合重要主体作用</w:t>
            </w:r>
            <w:r>
              <w:rPr>
                <w:rFonts w:ascii="ˎ̥" w:hAnsi="ˎ̥" w:eastAsia="宋体" w:cs="宋体"/>
                <w:color w:val="666666"/>
                <w:kern w:val="0"/>
                <w:sz w:val="18"/>
                <w:szCs w:val="18"/>
              </w:rPr>
              <w:t xml:space="preserve"> </w:t>
            </w: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支持企业等社会资本以独资、合资、合作等方式依法参与举办职业教育、高等教育。改进办学准入条件和审批环节。</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省教育厅会同省有关部门，各市人民政府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6</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有序推进职业学校股份制、混合所有制改革，允许以资本、知识、技术、设备、管理等要素参与办学并享有相应权利。</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省教育厅、省人力资源社会保障厅，有关市人民政府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7</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鼓励骨干企业联合职业学校、高等院校、科研院所共同组建产教融合集团（联盟），注重发挥省属国有企业的示范引领作用。</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有关部门和行业协会，省国资委、省工商联，各市人民政府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8</w:t>
            </w:r>
            <w:r>
              <w:rPr>
                <w:rFonts w:ascii="ˎ̥" w:hAnsi="ˎ̥" w:eastAsia="宋体" w:cs="宋体"/>
                <w:color w:val="666666"/>
                <w:kern w:val="0"/>
                <w:sz w:val="18"/>
                <w:szCs w:val="18"/>
              </w:rPr>
              <w:t xml:space="preserve"> </w:t>
            </w:r>
          </w:p>
        </w:tc>
        <w:tc>
          <w:tcPr>
            <w:tcW w:w="1935" w:type="dxa"/>
            <w:vMerge w:val="restart"/>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发挥企业产教融合重要主体作用</w:t>
            </w:r>
            <w:r>
              <w:rPr>
                <w:rFonts w:ascii="ˎ̥" w:hAnsi="ˎ̥" w:eastAsia="宋体" w:cs="宋体"/>
                <w:color w:val="666666"/>
                <w:kern w:val="0"/>
                <w:sz w:val="18"/>
                <w:szCs w:val="18"/>
              </w:rPr>
              <w:t xml:space="preserve"> </w:t>
            </w: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深化“引企入教”改革，促进企业需求融入人才培养环节。</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省教育厅、省人力资源社会保障厅、省经济和信息化委会同省有关部门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9</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开展生产性实习实训。健全学生到企业实习实训制度，推进实习实训规范化。</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省教育厅、省发展改革委、省人力资源社会保障厅会同省有关部门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10</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支持高等学校联合企业、科研院所开展协同创新，共建创新平台。支持设立省科技成果转化引导基金。</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省教育厅、省科技厅、省发展改革委、省财政厅会同省有关部门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11</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引导高等学校将企业生产一线实际需求作为工程技术研究选题的重要来源。将成果转化作为高等学校科研项目和人才评价重要内容。</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省教育厅、省科技厅会同省有关部门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12</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强化企业职工在岗教育培训。</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省人力资源社会保障厅、省总工会会同省有关部门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13</w:t>
            </w:r>
            <w:r>
              <w:rPr>
                <w:rFonts w:ascii="ˎ̥" w:hAnsi="ˎ̥" w:eastAsia="宋体" w:cs="宋体"/>
                <w:color w:val="666666"/>
                <w:kern w:val="0"/>
                <w:sz w:val="18"/>
                <w:szCs w:val="18"/>
              </w:rPr>
              <w:t xml:space="preserve"> </w:t>
            </w:r>
          </w:p>
        </w:tc>
        <w:tc>
          <w:tcPr>
            <w:tcW w:w="1935" w:type="dxa"/>
            <w:vMerge w:val="restart"/>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加强产教融合人才培育</w:t>
            </w:r>
            <w:r>
              <w:rPr>
                <w:rFonts w:ascii="ˎ̥" w:hAnsi="ˎ̥" w:eastAsia="宋体" w:cs="宋体"/>
                <w:color w:val="666666"/>
                <w:kern w:val="0"/>
                <w:sz w:val="18"/>
                <w:szCs w:val="18"/>
              </w:rPr>
              <w:t xml:space="preserve"> </w:t>
            </w: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将劳动实践融入基础教育。组织开展“江淮杰出工匠进校园”“企业技能大师进校园”等活动。</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省教育厅、省人力资源社会保障厅、省总工会会同省有关部门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14</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推进校企协同育人。深化全日制职业学校办学体制改革，健全职业学校内部教育质量保证体系，推行以“招工即招生、入厂即入校、校企双师联合培养”为主要内容的现代新型学徒制。</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省教育厅、省人力资源社会保障厅会同省有关部门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15</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支持安徽省应用型本科高校联盟等应用型本科和行业特色类高校联盟建设，强化产业需求导向，完善以应用型人才为主的培养体系。</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省教育厅、省人力资源社会保障厅、省经济和信息化委会同省有关部门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16</w:t>
            </w:r>
            <w:r>
              <w:rPr>
                <w:rFonts w:ascii="ˎ̥" w:hAnsi="ˎ̥" w:eastAsia="宋体" w:cs="宋体"/>
                <w:color w:val="666666"/>
                <w:kern w:val="0"/>
                <w:sz w:val="18"/>
                <w:szCs w:val="18"/>
              </w:rPr>
              <w:t xml:space="preserve"> </w:t>
            </w:r>
          </w:p>
        </w:tc>
        <w:tc>
          <w:tcPr>
            <w:tcW w:w="1935" w:type="dxa"/>
            <w:vMerge w:val="restart"/>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加强产教融合人才培育</w:t>
            </w:r>
            <w:r>
              <w:rPr>
                <w:rFonts w:ascii="ˎ̥" w:hAnsi="ˎ̥" w:eastAsia="宋体" w:cs="宋体"/>
                <w:color w:val="666666"/>
                <w:kern w:val="0"/>
                <w:sz w:val="18"/>
                <w:szCs w:val="18"/>
              </w:rPr>
              <w:t xml:space="preserve"> </w:t>
            </w: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强化师资队伍建设。在有条件的职业学校、应用型本科高校探索实施产业教师（导师）特设岗位计划，鼓励职业学校和高等学校设立流动岗位吸引企业技术人员从事教学科研工作。</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省教育厅、省编办，各市人民政府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17</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健全“五年一贯制”、专升本等培养模式，提高高等学校招收职业教育毕业生比例。认真落实专业学位研究生入学考试制度改革要求，提高有工作实践经历人员的招收比例。</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18</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改革学校治理结构。创新教育培训服务供给。</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省教育厅会同省有关部门</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19</w:t>
            </w:r>
            <w:r>
              <w:rPr>
                <w:rFonts w:ascii="ˎ̥" w:hAnsi="ˎ̥" w:eastAsia="宋体" w:cs="宋体"/>
                <w:color w:val="666666"/>
                <w:kern w:val="0"/>
                <w:sz w:val="18"/>
                <w:szCs w:val="18"/>
              </w:rPr>
              <w:t xml:space="preserve"> </w:t>
            </w:r>
          </w:p>
        </w:tc>
        <w:tc>
          <w:tcPr>
            <w:tcW w:w="193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促进产教供需双向对接</w:t>
            </w:r>
            <w:r>
              <w:rPr>
                <w:rFonts w:ascii="ˎ̥" w:hAnsi="ˎ̥" w:eastAsia="宋体" w:cs="宋体"/>
                <w:color w:val="666666"/>
                <w:kern w:val="0"/>
                <w:sz w:val="18"/>
                <w:szCs w:val="18"/>
              </w:rPr>
              <w:t xml:space="preserve"> </w:t>
            </w: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强化行业协调指导。优化市场中介服务。打造共享信息平台。</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省教育厅、省有关部门和行业协会，各市人民政府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20</w:t>
            </w:r>
            <w:r>
              <w:rPr>
                <w:rFonts w:ascii="ˎ̥" w:hAnsi="ˎ̥" w:eastAsia="宋体" w:cs="宋体"/>
                <w:color w:val="666666"/>
                <w:kern w:val="0"/>
                <w:sz w:val="18"/>
                <w:szCs w:val="18"/>
              </w:rPr>
              <w:t xml:space="preserve"> </w:t>
            </w:r>
          </w:p>
        </w:tc>
        <w:tc>
          <w:tcPr>
            <w:tcW w:w="1935" w:type="dxa"/>
            <w:vMerge w:val="restart"/>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强化产教融合支撑保障</w:t>
            </w:r>
            <w:r>
              <w:rPr>
                <w:rFonts w:ascii="ˎ̥" w:hAnsi="ˎ̥" w:eastAsia="宋体" w:cs="宋体"/>
                <w:color w:val="666666"/>
                <w:kern w:val="0"/>
                <w:sz w:val="18"/>
                <w:szCs w:val="18"/>
              </w:rPr>
              <w:t xml:space="preserve"> </w:t>
            </w: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实施产教融合发展工程。</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省发展改革委、省教育厅、省人力资源社会保障厅</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21</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开展试点示范。</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省教育厅、省发展改革委、省人力资源社会保障厅，各市人民政府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22</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加大政策扶持力度。</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省财政厅、省国税局、省地税局、省国土资源厅、省人力资源社会保障厅、省教育厅、人行合肥中心支行、安徽银监局、安徽证监局、安徽保监局、省政府金融办，各市人民政府</w:t>
            </w:r>
            <w:r>
              <w:rPr>
                <w:rFonts w:ascii="ˎ̥" w:hAnsi="ˎ̥" w:eastAsia="宋体" w:cs="宋体"/>
                <w:color w:val="666666"/>
                <w:kern w:val="0"/>
                <w:sz w:val="18"/>
                <w:szCs w:val="18"/>
              </w:rPr>
              <w:t xml:space="preserve"> </w:t>
            </w:r>
          </w:p>
        </w:tc>
      </w:tr>
      <w:tr>
        <w:tblPrEx>
          <w:tblCellMar>
            <w:top w:w="0" w:type="dxa"/>
            <w:left w:w="0" w:type="dxa"/>
            <w:bottom w:w="0" w:type="dxa"/>
            <w:right w:w="0" w:type="dxa"/>
          </w:tblCellMar>
        </w:tblPrEx>
        <w:trPr>
          <w:jc w:val="center"/>
        </w:trPr>
        <w:tc>
          <w:tcPr>
            <w:tcW w:w="90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center"/>
              <w:rPr>
                <w:rFonts w:hint="eastAsia" w:ascii="ˎ̥" w:hAnsi="ˎ̥" w:eastAsia="宋体" w:cs="宋体"/>
                <w:color w:val="666666"/>
                <w:kern w:val="0"/>
                <w:sz w:val="18"/>
                <w:szCs w:val="18"/>
              </w:rPr>
            </w:pPr>
            <w:r>
              <w:rPr>
                <w:rFonts w:ascii="ˎ̥" w:hAnsi="ˎ̥" w:eastAsia="宋体" w:cs="宋体"/>
                <w:color w:val="666666"/>
                <w:kern w:val="0"/>
                <w:sz w:val="24"/>
                <w:szCs w:val="24"/>
              </w:rPr>
              <w:t>23</w:t>
            </w:r>
            <w:r>
              <w:rPr>
                <w:rFonts w:ascii="ˎ̥" w:hAnsi="ˎ̥" w:eastAsia="宋体" w:cs="宋体"/>
                <w:color w:val="666666"/>
                <w:kern w:val="0"/>
                <w:sz w:val="18"/>
                <w:szCs w:val="18"/>
              </w:rPr>
              <w:t xml:space="preserve"> </w:t>
            </w:r>
          </w:p>
        </w:tc>
        <w:tc>
          <w:tcPr>
            <w:tcW w:w="0" w:type="auto"/>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ˎ̥" w:hAnsi="ˎ̥" w:eastAsia="宋体" w:cs="宋体"/>
                <w:color w:val="666666"/>
                <w:kern w:val="0"/>
                <w:sz w:val="18"/>
                <w:szCs w:val="18"/>
              </w:rPr>
            </w:pPr>
          </w:p>
        </w:tc>
        <w:tc>
          <w:tcPr>
            <w:tcW w:w="5310"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加强省际和国际交流合作。</w:t>
            </w:r>
            <w:r>
              <w:rPr>
                <w:rFonts w:ascii="ˎ̥" w:hAnsi="ˎ̥" w:eastAsia="宋体" w:cs="宋体"/>
                <w:color w:val="666666"/>
                <w:kern w:val="0"/>
                <w:sz w:val="18"/>
                <w:szCs w:val="18"/>
              </w:rPr>
              <w:t xml:space="preserve"> </w:t>
            </w:r>
          </w:p>
        </w:tc>
        <w:tc>
          <w:tcPr>
            <w:tcW w:w="3255" w:type="dxa"/>
            <w:tcBorders>
              <w:top w:val="single" w:color="000000" w:sz="8" w:space="0"/>
              <w:left w:val="single" w:color="000000" w:sz="8" w:space="0"/>
              <w:bottom w:val="single" w:color="000000" w:sz="8" w:space="0"/>
              <w:right w:val="single" w:color="000000" w:sz="8" w:space="0"/>
            </w:tcBorders>
            <w:vAlign w:val="center"/>
          </w:tcPr>
          <w:p>
            <w:pPr>
              <w:widowControl/>
              <w:spacing w:before="100" w:beforeAutospacing="1" w:after="100" w:afterAutospacing="1"/>
              <w:jc w:val="left"/>
              <w:rPr>
                <w:rFonts w:hint="eastAsia" w:ascii="ˎ̥" w:hAnsi="ˎ̥" w:eastAsia="宋体" w:cs="宋体"/>
                <w:color w:val="666666"/>
                <w:kern w:val="0"/>
                <w:sz w:val="18"/>
                <w:szCs w:val="18"/>
              </w:rPr>
            </w:pPr>
            <w:r>
              <w:rPr>
                <w:rFonts w:hint="eastAsia" w:ascii="宋体" w:hAnsi="宋体" w:eastAsia="宋体" w:cs="宋体"/>
                <w:color w:val="666666"/>
                <w:kern w:val="0"/>
                <w:sz w:val="24"/>
                <w:szCs w:val="24"/>
              </w:rPr>
              <w:t>省教育厅会同省有关部门</w:t>
            </w:r>
            <w:r>
              <w:rPr>
                <w:rFonts w:ascii="ˎ̥" w:hAnsi="ˎ̥" w:eastAsia="宋体" w:cs="宋体"/>
                <w:color w:val="666666"/>
                <w:kern w:val="0"/>
                <w:sz w:val="18"/>
                <w:szCs w:val="18"/>
              </w:rPr>
              <w:t xml:space="preserve"> </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ˎ̥">
    <w:altName w:val="Cambria"/>
    <w:panose1 w:val="00000000000000000000"/>
    <w:charset w:val="00"/>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10" w:usb3="00000000" w:csb0="00040000" w:csb1="00000000"/>
  </w:font>
  <w:font w:name="方正黑体_GBK">
    <w:altName w:val="宋体"/>
    <w:panose1 w:val="00000000000000000000"/>
    <w:charset w:val="86"/>
    <w:family w:val="roman"/>
    <w:pitch w:val="default"/>
    <w:sig w:usb0="00000000" w:usb1="00000000" w:usb2="00000010" w:usb3="00000000" w:csb0="00040000" w:csb1="00000000"/>
  </w:font>
  <w:font w:name="方正小标宋_GBK">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BCB"/>
    <w:rsid w:val="0004520C"/>
    <w:rsid w:val="00637713"/>
    <w:rsid w:val="006600FA"/>
    <w:rsid w:val="006E7BCB"/>
    <w:rsid w:val="00915EC9"/>
    <w:rsid w:val="00954CC4"/>
    <w:rsid w:val="009E12AF"/>
    <w:rsid w:val="00B33A9C"/>
    <w:rsid w:val="00DF1041"/>
    <w:rsid w:val="00FC5499"/>
    <w:rsid w:val="7C481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line="360" w:lineRule="auto"/>
      <w:outlineLvl w:val="0"/>
    </w:pPr>
    <w:rPr>
      <w:b/>
      <w:bCs/>
      <w:kern w:val="44"/>
      <w:sz w:val="28"/>
      <w:szCs w:val="44"/>
    </w:rPr>
  </w:style>
  <w:style w:type="paragraph" w:styleId="3">
    <w:name w:val="heading 2"/>
    <w:basedOn w:val="1"/>
    <w:next w:val="1"/>
    <w:link w:val="14"/>
    <w:unhideWhenUsed/>
    <w:qFormat/>
    <w:uiPriority w:val="9"/>
    <w:pPr>
      <w:keepNext/>
      <w:keepLines/>
      <w:spacing w:line="360" w:lineRule="auto"/>
      <w:outlineLvl w:val="1"/>
    </w:pPr>
    <w:rPr>
      <w:rFonts w:asciiTheme="majorHAnsi" w:hAnsiTheme="majorHAnsi" w:eastAsiaTheme="majorEastAsia" w:cstheme="majorBidi"/>
      <w:b/>
      <w:bCs/>
      <w:sz w:val="28"/>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uiPriority w:val="39"/>
  </w:style>
  <w:style w:type="paragraph" w:styleId="7">
    <w:name w:val="toc 2"/>
    <w:basedOn w:val="1"/>
    <w:next w:val="1"/>
    <w:unhideWhenUsed/>
    <w:qFormat/>
    <w:uiPriority w:val="39"/>
    <w:pPr>
      <w:ind w:left="420" w:leftChars="200"/>
    </w:pPr>
  </w:style>
  <w:style w:type="character" w:styleId="10">
    <w:name w:val="Hyperlink"/>
    <w:basedOn w:val="9"/>
    <w:unhideWhenUsed/>
    <w:uiPriority w:val="99"/>
    <w:rPr>
      <w:color w:val="0563C1" w:themeColor="hyperlink"/>
      <w:u w:val="single"/>
      <w14:textFill>
        <w14:solidFill>
          <w14:schemeClr w14:val="hlink"/>
        </w14:solidFill>
      </w14:textFill>
    </w:rPr>
  </w:style>
  <w:style w:type="character" w:customStyle="1" w:styleId="11">
    <w:name w:val="页眉 字符"/>
    <w:basedOn w:val="9"/>
    <w:link w:val="5"/>
    <w:uiPriority w:val="99"/>
    <w:rPr>
      <w:sz w:val="18"/>
      <w:szCs w:val="18"/>
    </w:rPr>
  </w:style>
  <w:style w:type="character" w:customStyle="1" w:styleId="12">
    <w:name w:val="页脚 字符"/>
    <w:basedOn w:val="9"/>
    <w:link w:val="4"/>
    <w:uiPriority w:val="99"/>
    <w:rPr>
      <w:sz w:val="18"/>
      <w:szCs w:val="18"/>
    </w:rPr>
  </w:style>
  <w:style w:type="character" w:customStyle="1" w:styleId="13">
    <w:name w:val="标题 1 字符"/>
    <w:basedOn w:val="9"/>
    <w:link w:val="2"/>
    <w:uiPriority w:val="9"/>
    <w:rPr>
      <w:b/>
      <w:bCs/>
      <w:kern w:val="44"/>
      <w:sz w:val="28"/>
      <w:szCs w:val="44"/>
    </w:rPr>
  </w:style>
  <w:style w:type="character" w:customStyle="1" w:styleId="14">
    <w:name w:val="标题 2 字符"/>
    <w:basedOn w:val="9"/>
    <w:link w:val="3"/>
    <w:uiPriority w:val="9"/>
    <w:rPr>
      <w:rFonts w:asciiTheme="majorHAnsi" w:hAnsiTheme="majorHAnsi" w:eastAsiaTheme="majorEastAsia" w:cstheme="majorBidi"/>
      <w:b/>
      <w:bCs/>
      <w:sz w:val="28"/>
      <w:szCs w:val="32"/>
    </w:rPr>
  </w:style>
  <w:style w:type="paragraph" w:customStyle="1" w:styleId="15">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6FDA3-D253-42B5-BE6C-4BBAB7754D2B}">
  <ds:schemaRefs/>
</ds:datastoreItem>
</file>

<file path=docProps/app.xml><?xml version="1.0" encoding="utf-8"?>
<Properties xmlns="http://schemas.openxmlformats.org/officeDocument/2006/extended-properties" xmlns:vt="http://schemas.openxmlformats.org/officeDocument/2006/docPropsVTypes">
  <Template>Normal</Template>
  <Pages>17</Pages>
  <Words>7641</Words>
  <Characters>7688</Characters>
  <Lines>71</Lines>
  <Paragraphs>20</Paragraphs>
  <TotalTime>8</TotalTime>
  <ScaleCrop>false</ScaleCrop>
  <LinksUpToDate>false</LinksUpToDate>
  <CharactersWithSpaces>7946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2019-05-15T06:00:00Z</dcterms:created>
  <dc:creator>admin</dc:creator>
  <cp:lastModifiedBy>admin</cp:lastModifiedBy>
  <dcterms:modified xsi:type="dcterms:W3CDTF">2023-06-01T09:07:17Z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C7C39802A361446D85EF43F1CDDA24FD_13</vt:lpwstr>
  </property>
</Properties>
</file>